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cs="宋体"/>
          <w:b/>
          <w:bCs/>
          <w:sz w:val="44"/>
          <w:szCs w:val="44"/>
          <w:lang w:val="en-US" w:eastAsia="zh-CN"/>
        </w:rPr>
        <w:t>双江自治县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</w:t>
      </w:r>
      <w:r>
        <w:rPr>
          <w:rFonts w:hint="eastAsia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年财政预算草案上级补助收入编制的说明</w:t>
      </w:r>
    </w:p>
    <w:p>
      <w:pPr>
        <w:spacing w:line="520" w:lineRule="exact"/>
        <w:ind w:left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年我县上级补助收入预算数为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165000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万元。其中，预计返还性收入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2504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万元，预计一般性转移支付收入为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135289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万元，预计专项转移支付收入为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27207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万元。具体明细如下：</w:t>
      </w:r>
    </w:p>
    <w:p>
      <w:pPr>
        <w:spacing w:line="520" w:lineRule="exact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（1）返还性收入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2504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万元，其中：增值税和消费税税收返还收入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万元、所得税基基数返还收入192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万元、增值税“五五分享”税收返还收入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（2）一般性转移支付收入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135289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万元，其中：体制补助收入2330万元、均衡性转移支付收入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34283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民族地区转移支付收入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2944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万元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、县级基本财力保障机制奖补资金收入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4577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万元、企事业单位划转补助收入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850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万元、贫困地区转移支付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5097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万元、重点生态功能区转移支付收入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1278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万元、结算补助收入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9688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万元、固定数额补助收入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9980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万元、共同事权转移支付收入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64174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万元、其他一般性转移支付收入8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万元。</w:t>
      </w:r>
    </w:p>
    <w:p>
      <w:pPr>
        <w:spacing w:line="520" w:lineRule="exact"/>
        <w:ind w:left="0" w:firstLine="56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（3）专项转移支付收入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27207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万元，其中：一般公共服务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万元、国防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万元、公共安全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万元、教育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万元、科学技术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1250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万元、文化旅游体育与传媒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万元、社会保障和就业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680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万元、卫生健康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706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万元、节能环保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万元、城乡社区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1662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万元、农林水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15300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万元、交通运输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万元、资源勘探信息等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万元、商业服务业等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自然资源海洋气象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万元、住房保障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万元、灾害防治及应急管理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364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、其他支出179万元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A2C1B"/>
    <w:rsid w:val="0C8D2EB8"/>
    <w:rsid w:val="13513AC6"/>
    <w:rsid w:val="188B5021"/>
    <w:rsid w:val="1E5F1F5F"/>
    <w:rsid w:val="1F5E437A"/>
    <w:rsid w:val="21FE0BF7"/>
    <w:rsid w:val="22775A0C"/>
    <w:rsid w:val="26821B10"/>
    <w:rsid w:val="35BB1867"/>
    <w:rsid w:val="404F2339"/>
    <w:rsid w:val="42500BBA"/>
    <w:rsid w:val="4700032B"/>
    <w:rsid w:val="6F3959E2"/>
    <w:rsid w:val="79B91A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2022-02-14T07:28:22Z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