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36"/>
          <w:szCs w:val="36"/>
          <w:lang w:val="en-US" w:eastAsia="zh-CN"/>
        </w:rPr>
      </w:pPr>
      <w:r>
        <w:rPr>
          <w:rFonts w:hint="eastAsia" w:ascii="方正小标宋简体" w:eastAsia="方正小标宋简体"/>
          <w:sz w:val="36"/>
          <w:szCs w:val="36"/>
        </w:rPr>
        <w:t>双江自治县202</w:t>
      </w:r>
      <w:r>
        <w:rPr>
          <w:rFonts w:hint="eastAsia" w:ascii="方正小标宋简体" w:eastAsia="方正小标宋简体"/>
          <w:sz w:val="36"/>
          <w:szCs w:val="36"/>
          <w:lang w:val="en-US" w:eastAsia="zh-CN"/>
        </w:rPr>
        <w:t>4</w:t>
      </w:r>
      <w:r>
        <w:rPr>
          <w:rFonts w:hint="eastAsia" w:ascii="方正小标宋简体" w:eastAsia="方正小标宋简体"/>
          <w:sz w:val="36"/>
          <w:szCs w:val="36"/>
        </w:rPr>
        <w:t>年</w:t>
      </w:r>
      <w:r>
        <w:rPr>
          <w:rFonts w:hint="eastAsia" w:ascii="方正小标宋简体" w:eastAsia="方正小标宋简体"/>
          <w:sz w:val="36"/>
          <w:szCs w:val="36"/>
          <w:lang w:val="en-US" w:eastAsia="zh-CN"/>
        </w:rPr>
        <w:t>第二季度存量住宅用地</w:t>
      </w:r>
    </w:p>
    <w:p>
      <w:pPr>
        <w:jc w:val="center"/>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相关信息公开</w:t>
      </w:r>
    </w:p>
    <w:p>
      <w:pPr>
        <w:pStyle w:val="2"/>
        <w:rPr>
          <w:rFonts w:hint="default"/>
          <w:lang w:val="en-US" w:eastAsia="zh-CN"/>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为严格落实党的十九届五中全会和中央经济工作会议精神，严格落实党中央、</w:t>
      </w:r>
      <w:bookmarkStart w:id="1" w:name="_GoBack"/>
      <w:bookmarkEnd w:id="1"/>
      <w:r>
        <w:rPr>
          <w:rFonts w:hint="eastAsia" w:ascii="仿宋" w:hAnsi="仿宋" w:eastAsia="仿宋" w:cs="仿宋"/>
          <w:sz w:val="32"/>
          <w:szCs w:val="32"/>
          <w:lang w:val="en-US" w:eastAsia="zh-CN"/>
        </w:rPr>
        <w:t>国务院关于建立房地产市场平稳健康发展城市主体责任制的决策部署，促进全县房地产市场平稳健康发展，根据本地实际，现将2024年第二季度存量住宅用地相关信息进行公开。</w:t>
      </w:r>
    </w:p>
    <w:p>
      <w:pPr>
        <w:spacing w:line="560" w:lineRule="exact"/>
        <w:ind w:firstLine="640" w:firstLineChars="200"/>
        <w:rPr>
          <w:rFonts w:ascii="Times New Roman" w:hAnsi="Times New Roman" w:eastAsia="仿宋_GB2312" w:cs="Times New Roman"/>
          <w:sz w:val="32"/>
          <w:szCs w:val="32"/>
        </w:rPr>
      </w:pPr>
    </w:p>
    <w:p>
      <w:pPr>
        <w:spacing w:line="540" w:lineRule="exact"/>
        <w:ind w:firstLine="480"/>
        <w:rPr>
          <w:rFonts w:ascii="仿宋_GB2312" w:eastAsia="仿宋_GB2312"/>
          <w:sz w:val="32"/>
          <w:szCs w:val="32"/>
        </w:rPr>
      </w:pPr>
    </w:p>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32"/>
          <w:szCs w:val="32"/>
        </w:rPr>
      </w:pPr>
      <w:r>
        <w:rPr>
          <w:rFonts w:hint="eastAsia" w:ascii="方正小标宋简体" w:eastAsia="方正小标宋简体"/>
          <w:sz w:val="32"/>
          <w:szCs w:val="32"/>
        </w:rPr>
        <w:t>双江自治县存量住宅用地信息公告</w:t>
      </w:r>
    </w:p>
    <w:p>
      <w:pPr>
        <w:pStyle w:val="2"/>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目前双江自治县有存量住宅用地项目</w:t>
      </w:r>
      <w:r>
        <w:rPr>
          <w:rFonts w:hint="eastAsia" w:ascii="仿宋" w:hAnsi="仿宋" w:eastAsia="仿宋" w:cs="仿宋"/>
          <w:sz w:val="32"/>
          <w:szCs w:val="32"/>
          <w:lang w:val="en-US" w:eastAsia="zh-CN"/>
        </w:rPr>
        <w:t>七</w:t>
      </w:r>
      <w:r>
        <w:rPr>
          <w:rFonts w:hint="eastAsia" w:ascii="仿宋" w:hAnsi="仿宋" w:eastAsia="仿宋" w:cs="仿宋"/>
          <w:sz w:val="32"/>
          <w:szCs w:val="32"/>
        </w:rPr>
        <w:t>个，土地总面积</w:t>
      </w:r>
      <w:r>
        <w:rPr>
          <w:rFonts w:hint="eastAsia" w:ascii="仿宋" w:hAnsi="仿宋" w:eastAsia="仿宋" w:cs="仿宋"/>
          <w:sz w:val="32"/>
          <w:szCs w:val="32"/>
          <w:lang w:val="en-US" w:eastAsia="zh-CN"/>
        </w:rPr>
        <w:t>18.4586</w:t>
      </w:r>
      <w:r>
        <w:rPr>
          <w:rFonts w:hint="eastAsia" w:ascii="仿宋" w:hAnsi="仿宋" w:eastAsia="仿宋" w:cs="仿宋"/>
          <w:sz w:val="32"/>
          <w:szCs w:val="32"/>
        </w:rPr>
        <w:t>公顷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未动工项目一个，昆明建投房地产开发有限公司开发项目用地2.5549公顷，位于老政府片区，</w:t>
      </w:r>
      <w:r>
        <w:rPr>
          <w:rFonts w:hint="eastAsia" w:ascii="仿宋" w:hAnsi="仿宋" w:eastAsia="仿宋" w:cs="仿宋"/>
          <w:sz w:val="32"/>
          <w:szCs w:val="32"/>
        </w:rPr>
        <w:t>住宅用地类型：普通商品房，项目</w:t>
      </w:r>
      <w:r>
        <w:rPr>
          <w:rFonts w:hint="eastAsia" w:ascii="仿宋" w:hAnsi="仿宋" w:eastAsia="仿宋" w:cs="仿宋"/>
          <w:sz w:val="32"/>
          <w:szCs w:val="32"/>
          <w:lang w:val="en-US" w:eastAsia="zh-CN"/>
        </w:rPr>
        <w:t>未动</w:t>
      </w:r>
      <w:r>
        <w:rPr>
          <w:rFonts w:hint="eastAsia" w:ascii="仿宋" w:hAnsi="仿宋" w:eastAsia="仿宋" w:cs="仿宋"/>
          <w:sz w:val="32"/>
          <w:szCs w:val="32"/>
        </w:rPr>
        <w:t>工</w:t>
      </w:r>
      <w:r>
        <w:rPr>
          <w:rFonts w:hint="eastAsia" w:ascii="仿宋" w:hAnsi="仿宋" w:eastAsia="仿宋" w:cs="仿宋"/>
          <w:sz w:val="32"/>
          <w:szCs w:val="32"/>
          <w:lang w:eastAsia="zh-CN"/>
        </w:rPr>
        <w:t>；</w:t>
      </w:r>
      <w:r>
        <w:rPr>
          <w:rFonts w:hint="eastAsia" w:ascii="仿宋" w:hAnsi="仿宋" w:eastAsia="仿宋" w:cs="仿宋"/>
          <w:sz w:val="32"/>
          <w:szCs w:val="32"/>
        </w:rPr>
        <w:t>已动工未竣工项目</w:t>
      </w:r>
      <w:r>
        <w:rPr>
          <w:rFonts w:hint="eastAsia" w:ascii="仿宋" w:hAnsi="仿宋" w:eastAsia="仿宋" w:cs="仿宋"/>
          <w:sz w:val="32"/>
          <w:szCs w:val="32"/>
          <w:lang w:val="en-US" w:eastAsia="zh-CN"/>
        </w:rPr>
        <w:t>六个，面积15.9037公顷。</w:t>
      </w:r>
      <w:r>
        <w:rPr>
          <w:rFonts w:hint="eastAsia" w:ascii="仿宋" w:hAnsi="仿宋" w:eastAsia="仿宋" w:cs="仿宋"/>
          <w:sz w:val="32"/>
          <w:szCs w:val="32"/>
        </w:rPr>
        <w:t>其中未销售房屋土地面积</w:t>
      </w:r>
      <w:r>
        <w:rPr>
          <w:rFonts w:hint="eastAsia" w:ascii="仿宋" w:hAnsi="仿宋" w:eastAsia="仿宋" w:cs="仿宋"/>
          <w:sz w:val="32"/>
          <w:szCs w:val="32"/>
          <w:lang w:val="en-US" w:eastAsia="zh-CN"/>
        </w:rPr>
        <w:t>10.9473</w:t>
      </w:r>
      <w:r>
        <w:rPr>
          <w:rFonts w:hint="eastAsia" w:ascii="仿宋" w:hAnsi="仿宋" w:eastAsia="仿宋" w:cs="仿宋"/>
          <w:sz w:val="32"/>
          <w:szCs w:val="32"/>
        </w:rPr>
        <w:t>公顷。</w:t>
      </w:r>
      <w:r>
        <w:rPr>
          <w:rFonts w:hint="eastAsia" w:ascii="仿宋" w:hAnsi="仿宋" w:eastAsia="仿宋" w:cs="仿宋"/>
          <w:sz w:val="32"/>
          <w:szCs w:val="32"/>
          <w:lang w:val="en-US" w:eastAsia="zh-CN"/>
        </w:rPr>
        <w:t>六</w:t>
      </w:r>
      <w:r>
        <w:rPr>
          <w:rFonts w:hint="eastAsia" w:ascii="仿宋" w:hAnsi="仿宋" w:eastAsia="仿宋" w:cs="仿宋"/>
          <w:sz w:val="32"/>
          <w:szCs w:val="32"/>
        </w:rPr>
        <w:t>个项目</w:t>
      </w:r>
      <w:r>
        <w:rPr>
          <w:rFonts w:hint="eastAsia" w:ascii="仿宋" w:hAnsi="仿宋" w:eastAsia="仿宋" w:cs="仿宋"/>
          <w:sz w:val="32"/>
          <w:szCs w:val="32"/>
          <w:lang w:val="en-US" w:eastAsia="zh-CN"/>
        </w:rPr>
        <w:t>为</w:t>
      </w:r>
      <w:r>
        <w:rPr>
          <w:rFonts w:hint="eastAsia" w:ascii="仿宋" w:hAnsi="仿宋" w:eastAsia="仿宋" w:cs="仿宋"/>
          <w:sz w:val="32"/>
          <w:szCs w:val="32"/>
        </w:rPr>
        <w:t>：</w:t>
      </w:r>
      <w:r>
        <w:rPr>
          <w:rFonts w:hint="eastAsia" w:ascii="黑体" w:hAnsi="黑体" w:eastAsia="黑体" w:cs="黑体"/>
          <w:sz w:val="32"/>
          <w:szCs w:val="32"/>
        </w:rPr>
        <w:t>一是</w:t>
      </w:r>
      <w:r>
        <w:rPr>
          <w:rFonts w:hint="eastAsia" w:ascii="仿宋" w:hAnsi="仿宋" w:eastAsia="仿宋" w:cs="仿宋"/>
          <w:sz w:val="32"/>
          <w:szCs w:val="32"/>
        </w:rPr>
        <w:t>金碧华府小区项目用地2.59</w:t>
      </w:r>
      <w:r>
        <w:rPr>
          <w:rFonts w:hint="eastAsia" w:ascii="仿宋" w:hAnsi="仿宋" w:eastAsia="仿宋" w:cs="仿宋"/>
          <w:sz w:val="32"/>
          <w:szCs w:val="32"/>
          <w:lang w:val="en-US" w:eastAsia="zh-CN"/>
        </w:rPr>
        <w:t>40</w:t>
      </w:r>
      <w:r>
        <w:rPr>
          <w:rFonts w:hint="eastAsia" w:ascii="仿宋" w:hAnsi="仿宋" w:eastAsia="仿宋" w:cs="仿宋"/>
          <w:sz w:val="32"/>
          <w:szCs w:val="32"/>
        </w:rPr>
        <w:t>公顷，位于允俸连接线上段，住宅用地类型：普通商品房，项目已动工未竣工，未销售房屋土地面积</w:t>
      </w:r>
      <w:r>
        <w:rPr>
          <w:rFonts w:hint="eastAsia" w:ascii="仿宋" w:hAnsi="仿宋" w:eastAsia="仿宋" w:cs="仿宋"/>
          <w:sz w:val="32"/>
          <w:szCs w:val="32"/>
          <w:lang w:val="en-US" w:eastAsia="zh-CN"/>
        </w:rPr>
        <w:t>2.0361</w:t>
      </w:r>
      <w:r>
        <w:rPr>
          <w:rFonts w:hint="eastAsia" w:ascii="仿宋" w:hAnsi="仿宋" w:eastAsia="仿宋" w:cs="仿宋"/>
          <w:sz w:val="32"/>
          <w:szCs w:val="32"/>
        </w:rPr>
        <w:t>公顷；</w:t>
      </w:r>
      <w:r>
        <w:rPr>
          <w:rFonts w:hint="eastAsia" w:ascii="黑体" w:hAnsi="黑体" w:eastAsia="黑体" w:cs="黑体"/>
          <w:sz w:val="32"/>
          <w:szCs w:val="32"/>
        </w:rPr>
        <w:t>二是</w:t>
      </w:r>
      <w:r>
        <w:rPr>
          <w:rFonts w:hint="eastAsia" w:ascii="仿宋" w:hAnsi="仿宋" w:eastAsia="仿宋" w:cs="仿宋"/>
          <w:sz w:val="32"/>
          <w:szCs w:val="32"/>
        </w:rPr>
        <w:t>双江万欣房地产开发双江1号家苑项目用地</w:t>
      </w:r>
      <w:r>
        <w:rPr>
          <w:rFonts w:hint="eastAsia" w:ascii="仿宋" w:hAnsi="仿宋" w:eastAsia="仿宋" w:cs="仿宋"/>
          <w:sz w:val="32"/>
          <w:szCs w:val="32"/>
          <w:lang w:val="en-US" w:eastAsia="zh-CN"/>
        </w:rPr>
        <w:t>2.1788</w:t>
      </w:r>
      <w:r>
        <w:rPr>
          <w:rFonts w:hint="eastAsia" w:ascii="仿宋" w:hAnsi="仿宋" w:eastAsia="仿宋" w:cs="仿宋"/>
          <w:sz w:val="32"/>
          <w:szCs w:val="32"/>
        </w:rPr>
        <w:t>公顷，位于行政服务中心片区，住宅用地类型：普通商品房，项目已动工未竣工，未销售房屋土地面积</w:t>
      </w:r>
      <w:r>
        <w:rPr>
          <w:rFonts w:hint="eastAsia" w:ascii="仿宋" w:hAnsi="仿宋" w:eastAsia="仿宋" w:cs="仿宋"/>
          <w:sz w:val="32"/>
          <w:szCs w:val="32"/>
          <w:lang w:val="en-US" w:eastAsia="zh-CN"/>
        </w:rPr>
        <w:t>2.1004</w:t>
      </w:r>
      <w:r>
        <w:rPr>
          <w:rFonts w:hint="eastAsia" w:ascii="仿宋" w:hAnsi="仿宋" w:eastAsia="仿宋" w:cs="仿宋"/>
          <w:sz w:val="32"/>
          <w:szCs w:val="32"/>
        </w:rPr>
        <w:t>公顷；</w:t>
      </w:r>
      <w:r>
        <w:rPr>
          <w:rFonts w:hint="eastAsia" w:ascii="黑体" w:hAnsi="黑体" w:eastAsia="黑体" w:cs="黑体"/>
          <w:sz w:val="32"/>
          <w:szCs w:val="32"/>
        </w:rPr>
        <w:t>三是</w:t>
      </w:r>
      <w:r>
        <w:rPr>
          <w:rFonts w:hint="eastAsia" w:ascii="仿宋" w:hAnsi="仿宋" w:eastAsia="仿宋" w:cs="仿宋"/>
          <w:sz w:val="32"/>
          <w:szCs w:val="32"/>
        </w:rPr>
        <w:t>锦丽新城二期项目用地3.</w:t>
      </w:r>
      <w:r>
        <w:rPr>
          <w:rFonts w:hint="eastAsia" w:ascii="仿宋" w:hAnsi="仿宋" w:eastAsia="仿宋" w:cs="仿宋"/>
          <w:sz w:val="32"/>
          <w:szCs w:val="32"/>
          <w:lang w:val="en-US" w:eastAsia="zh-CN"/>
        </w:rPr>
        <w:t>7917</w:t>
      </w:r>
      <w:r>
        <w:rPr>
          <w:rFonts w:hint="eastAsia" w:ascii="仿宋" w:hAnsi="仿宋" w:eastAsia="仿宋" w:cs="仿宋"/>
          <w:sz w:val="32"/>
          <w:szCs w:val="32"/>
        </w:rPr>
        <w:t>公顷，位于忙袜河片区，住宅用地类型：普通商品房，项目已动工未竣工，未销售房屋土地面积</w:t>
      </w:r>
      <w:r>
        <w:rPr>
          <w:rFonts w:hint="eastAsia" w:ascii="仿宋" w:hAnsi="仿宋" w:eastAsia="仿宋" w:cs="仿宋"/>
          <w:sz w:val="32"/>
          <w:szCs w:val="32"/>
          <w:lang w:val="en-US" w:eastAsia="zh-CN"/>
        </w:rPr>
        <w:t>0.4900</w:t>
      </w:r>
      <w:r>
        <w:rPr>
          <w:rFonts w:hint="eastAsia" w:ascii="仿宋" w:hAnsi="仿宋" w:eastAsia="仿宋" w:cs="仿宋"/>
          <w:sz w:val="32"/>
          <w:szCs w:val="32"/>
        </w:rPr>
        <w:t>公顷；</w:t>
      </w:r>
      <w:r>
        <w:rPr>
          <w:rFonts w:hint="eastAsia" w:ascii="黑体" w:hAnsi="黑体" w:eastAsia="黑体" w:cs="黑体"/>
          <w:sz w:val="32"/>
          <w:szCs w:val="32"/>
        </w:rPr>
        <w:t>四是</w:t>
      </w:r>
      <w:r>
        <w:rPr>
          <w:rFonts w:hint="eastAsia" w:ascii="仿宋" w:hAnsi="仿宋" w:eastAsia="仿宋" w:cs="仿宋"/>
          <w:sz w:val="32"/>
          <w:szCs w:val="32"/>
        </w:rPr>
        <w:t>世纪广场二期项目用</w:t>
      </w:r>
      <w:r>
        <w:rPr>
          <w:rFonts w:hint="eastAsia" w:ascii="仿宋" w:hAnsi="仿宋" w:eastAsia="仿宋" w:cs="仿宋"/>
          <w:sz w:val="32"/>
          <w:szCs w:val="32"/>
          <w:lang w:val="en-US" w:eastAsia="zh-CN"/>
        </w:rPr>
        <w:t>地0.7015公顷</w:t>
      </w:r>
      <w:r>
        <w:rPr>
          <w:rFonts w:hint="eastAsia" w:ascii="仿宋" w:hAnsi="仿宋" w:eastAsia="仿宋" w:cs="仿宋"/>
          <w:sz w:val="32"/>
          <w:szCs w:val="32"/>
        </w:rPr>
        <w:t>，位于县标南侧，住宅用地类型：普通商品房，项目已动工未竣工，未销售房屋土地面积</w:t>
      </w:r>
      <w:r>
        <w:rPr>
          <w:rFonts w:hint="eastAsia" w:ascii="仿宋" w:hAnsi="仿宋" w:eastAsia="仿宋" w:cs="仿宋"/>
          <w:sz w:val="32"/>
          <w:szCs w:val="32"/>
          <w:lang w:val="en-US" w:eastAsia="zh-CN"/>
        </w:rPr>
        <w:t>0.4028</w:t>
      </w:r>
      <w:r>
        <w:rPr>
          <w:rFonts w:hint="eastAsia" w:ascii="仿宋" w:hAnsi="仿宋" w:eastAsia="仿宋" w:cs="仿宋"/>
          <w:sz w:val="32"/>
          <w:szCs w:val="32"/>
        </w:rPr>
        <w:t>公顷</w:t>
      </w:r>
      <w:r>
        <w:rPr>
          <w:rFonts w:hint="eastAsia" w:ascii="仿宋" w:hAnsi="仿宋" w:eastAsia="仿宋" w:cs="仿宋"/>
          <w:sz w:val="32"/>
          <w:szCs w:val="32"/>
          <w:lang w:eastAsia="zh-CN"/>
        </w:rPr>
        <w:t>；</w:t>
      </w:r>
      <w:r>
        <w:rPr>
          <w:rFonts w:hint="eastAsia" w:ascii="黑体" w:hAnsi="黑体" w:eastAsia="黑体" w:cs="黑体"/>
          <w:sz w:val="32"/>
          <w:szCs w:val="32"/>
          <w:lang w:val="en-US" w:eastAsia="zh-CN"/>
        </w:rPr>
        <w:t>五</w:t>
      </w:r>
      <w:r>
        <w:rPr>
          <w:rFonts w:hint="eastAsia" w:ascii="黑体" w:hAnsi="黑体" w:eastAsia="黑体" w:cs="黑体"/>
          <w:sz w:val="32"/>
          <w:szCs w:val="32"/>
        </w:rPr>
        <w:t>是</w:t>
      </w:r>
      <w:r>
        <w:rPr>
          <w:rFonts w:hint="eastAsia" w:ascii="仿宋" w:hAnsi="仿宋" w:eastAsia="仿宋" w:cs="仿宋"/>
          <w:sz w:val="32"/>
          <w:szCs w:val="32"/>
          <w:lang w:val="en-US" w:eastAsia="zh-CN"/>
        </w:rPr>
        <w:t>锦丽世家</w:t>
      </w:r>
      <w:r>
        <w:rPr>
          <w:rFonts w:hint="eastAsia" w:ascii="仿宋" w:hAnsi="仿宋" w:eastAsia="仿宋" w:cs="仿宋"/>
          <w:sz w:val="32"/>
          <w:szCs w:val="32"/>
        </w:rPr>
        <w:t>项目用地</w:t>
      </w:r>
      <w:r>
        <w:rPr>
          <w:rFonts w:hint="eastAsia" w:ascii="仿宋" w:hAnsi="仿宋" w:eastAsia="仿宋" w:cs="仿宋"/>
          <w:sz w:val="32"/>
          <w:szCs w:val="32"/>
          <w:lang w:val="en-US" w:eastAsia="zh-CN"/>
        </w:rPr>
        <w:t>4.7435</w:t>
      </w:r>
      <w:r>
        <w:rPr>
          <w:rFonts w:hint="eastAsia" w:ascii="仿宋" w:hAnsi="仿宋" w:eastAsia="仿宋" w:cs="仿宋"/>
          <w:sz w:val="32"/>
          <w:szCs w:val="32"/>
        </w:rPr>
        <w:t>公顷，位于</w:t>
      </w:r>
      <w:r>
        <w:rPr>
          <w:rFonts w:hint="eastAsia" w:ascii="仿宋" w:hAnsi="仿宋" w:eastAsia="仿宋" w:cs="仿宋"/>
          <w:sz w:val="32"/>
          <w:szCs w:val="32"/>
          <w:lang w:val="en-US" w:eastAsia="zh-CN"/>
        </w:rPr>
        <w:t>忙袜河</w:t>
      </w:r>
      <w:r>
        <w:rPr>
          <w:rFonts w:hint="eastAsia" w:ascii="仿宋" w:hAnsi="仿宋" w:eastAsia="仿宋" w:cs="仿宋"/>
          <w:sz w:val="32"/>
          <w:szCs w:val="32"/>
        </w:rPr>
        <w:t>片区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铁厂坡脚</w:t>
      </w:r>
      <w:r>
        <w:rPr>
          <w:rFonts w:hint="eastAsia" w:ascii="仿宋" w:hAnsi="仿宋" w:eastAsia="仿宋" w:cs="仿宋"/>
          <w:sz w:val="32"/>
          <w:szCs w:val="32"/>
          <w:lang w:eastAsia="zh-CN"/>
        </w:rPr>
        <w:t>）</w:t>
      </w:r>
      <w:r>
        <w:rPr>
          <w:rFonts w:hint="eastAsia" w:ascii="仿宋" w:hAnsi="仿宋" w:eastAsia="仿宋" w:cs="仿宋"/>
          <w:sz w:val="32"/>
          <w:szCs w:val="32"/>
        </w:rPr>
        <w:t>，住宅用地类型：普通商品房，项目已动工未竣工</w:t>
      </w:r>
      <w:r>
        <w:rPr>
          <w:rFonts w:hint="eastAsia" w:ascii="仿宋" w:hAnsi="仿宋" w:eastAsia="仿宋" w:cs="仿宋"/>
          <w:sz w:val="32"/>
          <w:szCs w:val="32"/>
          <w:lang w:eastAsia="zh-CN"/>
        </w:rPr>
        <w:t>，</w:t>
      </w:r>
      <w:r>
        <w:rPr>
          <w:rFonts w:hint="eastAsia" w:ascii="仿宋" w:hAnsi="仿宋" w:eastAsia="仿宋" w:cs="仿宋"/>
          <w:sz w:val="32"/>
          <w:szCs w:val="32"/>
        </w:rPr>
        <w:t>未销售房屋土地面积</w:t>
      </w:r>
      <w:r>
        <w:rPr>
          <w:rFonts w:hint="eastAsia" w:ascii="仿宋" w:hAnsi="仿宋" w:eastAsia="仿宋" w:cs="仿宋"/>
          <w:sz w:val="32"/>
          <w:szCs w:val="32"/>
          <w:lang w:val="en-US" w:eastAsia="zh-CN"/>
        </w:rPr>
        <w:t>4.2000</w:t>
      </w:r>
      <w:r>
        <w:rPr>
          <w:rFonts w:hint="eastAsia" w:ascii="仿宋" w:hAnsi="仿宋" w:eastAsia="仿宋" w:cs="仿宋"/>
          <w:sz w:val="32"/>
          <w:szCs w:val="32"/>
        </w:rPr>
        <w:t>公顷</w:t>
      </w:r>
      <w:r>
        <w:rPr>
          <w:rFonts w:hint="eastAsia" w:ascii="仿宋" w:hAnsi="仿宋" w:eastAsia="仿宋" w:cs="仿宋"/>
          <w:sz w:val="32"/>
          <w:szCs w:val="32"/>
          <w:lang w:eastAsia="zh-CN"/>
        </w:rPr>
        <w:t>；</w:t>
      </w:r>
      <w:r>
        <w:rPr>
          <w:rFonts w:hint="eastAsia" w:ascii="黑体" w:hAnsi="黑体" w:eastAsia="黑体" w:cs="黑体"/>
          <w:sz w:val="32"/>
          <w:szCs w:val="32"/>
          <w:lang w:val="en-US" w:eastAsia="zh-CN"/>
        </w:rPr>
        <w:t>六</w:t>
      </w:r>
      <w:r>
        <w:rPr>
          <w:rFonts w:hint="eastAsia" w:ascii="黑体" w:hAnsi="黑体" w:eastAsia="黑体" w:cs="黑体"/>
          <w:sz w:val="32"/>
          <w:szCs w:val="32"/>
        </w:rPr>
        <w:t>是</w:t>
      </w:r>
      <w:r>
        <w:rPr>
          <w:rFonts w:hint="eastAsia" w:ascii="仿宋" w:hAnsi="仿宋" w:eastAsia="仿宋" w:cs="仿宋"/>
          <w:sz w:val="32"/>
          <w:szCs w:val="32"/>
          <w:lang w:val="en-US" w:eastAsia="zh-CN"/>
        </w:rPr>
        <w:t>江东首府</w:t>
      </w:r>
      <w:r>
        <w:rPr>
          <w:rFonts w:hint="eastAsia" w:ascii="仿宋" w:hAnsi="仿宋" w:eastAsia="仿宋" w:cs="仿宋"/>
          <w:sz w:val="32"/>
          <w:szCs w:val="32"/>
        </w:rPr>
        <w:t>项目用地</w:t>
      </w:r>
      <w:r>
        <w:rPr>
          <w:rFonts w:hint="eastAsia" w:ascii="仿宋" w:hAnsi="仿宋" w:eastAsia="仿宋" w:cs="仿宋"/>
          <w:sz w:val="32"/>
          <w:szCs w:val="32"/>
          <w:lang w:val="en-US" w:eastAsia="zh-CN"/>
        </w:rPr>
        <w:t>1.8942</w:t>
      </w:r>
      <w:r>
        <w:rPr>
          <w:rFonts w:hint="eastAsia" w:ascii="仿宋" w:hAnsi="仿宋" w:eastAsia="仿宋" w:cs="仿宋"/>
          <w:sz w:val="32"/>
          <w:szCs w:val="32"/>
        </w:rPr>
        <w:t>公顷，位于</w:t>
      </w:r>
      <w:r>
        <w:rPr>
          <w:rFonts w:hint="eastAsia" w:ascii="仿宋" w:hAnsi="仿宋" w:eastAsia="仿宋" w:cs="仿宋"/>
          <w:sz w:val="32"/>
          <w:szCs w:val="32"/>
          <w:lang w:val="en-US" w:eastAsia="zh-CN"/>
        </w:rPr>
        <w:t>体育馆东侧</w:t>
      </w:r>
      <w:r>
        <w:rPr>
          <w:rFonts w:hint="eastAsia" w:ascii="仿宋" w:hAnsi="仿宋" w:eastAsia="仿宋" w:cs="仿宋"/>
          <w:sz w:val="32"/>
          <w:szCs w:val="32"/>
        </w:rPr>
        <w:t>，住宅用地类型：普通商品房，项目已动工未竣工</w:t>
      </w:r>
      <w:r>
        <w:rPr>
          <w:rFonts w:hint="eastAsia" w:ascii="仿宋" w:hAnsi="仿宋" w:eastAsia="仿宋" w:cs="仿宋"/>
          <w:sz w:val="32"/>
          <w:szCs w:val="32"/>
          <w:lang w:eastAsia="zh-CN"/>
        </w:rPr>
        <w:t>，</w:t>
      </w:r>
      <w:r>
        <w:rPr>
          <w:rFonts w:hint="eastAsia" w:ascii="仿宋" w:hAnsi="仿宋" w:eastAsia="仿宋" w:cs="仿宋"/>
          <w:sz w:val="32"/>
          <w:szCs w:val="32"/>
        </w:rPr>
        <w:t>未销售房屋土地面积</w:t>
      </w:r>
      <w:r>
        <w:rPr>
          <w:rFonts w:hint="eastAsia" w:ascii="仿宋" w:hAnsi="仿宋" w:eastAsia="仿宋" w:cs="仿宋"/>
          <w:sz w:val="32"/>
          <w:szCs w:val="32"/>
          <w:lang w:val="en-US" w:eastAsia="zh-CN"/>
        </w:rPr>
        <w:t>1.7180</w:t>
      </w:r>
      <w:r>
        <w:rPr>
          <w:rFonts w:hint="eastAsia" w:ascii="仿宋" w:hAnsi="仿宋" w:eastAsia="仿宋" w:cs="仿宋"/>
          <w:sz w:val="32"/>
          <w:szCs w:val="32"/>
        </w:rPr>
        <w:t>公顷</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附件：1.《双江存量住宅用地项目清单》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《双江自治县存量住宅用地信息汇总表》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600" w:firstLineChars="5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3.《双江自治县住宅用地公告供应量和完成交易量统计情况表》</w:t>
      </w:r>
    </w:p>
    <w:p>
      <w:pPr>
        <w:keepNext w:val="0"/>
        <w:keepLines w:val="0"/>
        <w:pageBreakBefore w:val="0"/>
        <w:widowControl w:val="0"/>
        <w:kinsoku/>
        <w:wordWrap/>
        <w:overflowPunct/>
        <w:topLinePunct w:val="0"/>
        <w:autoSpaceDE/>
        <w:autoSpaceDN/>
        <w:bidi w:val="0"/>
        <w:adjustRightInd/>
        <w:snapToGrid/>
        <w:spacing w:line="500" w:lineRule="exact"/>
        <w:ind w:firstLine="1600" w:firstLineChars="500"/>
        <w:textAlignment w:val="auto"/>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.《双江自治县存量住宅用地位置</w:t>
      </w:r>
      <w:r>
        <w:rPr>
          <w:rFonts w:hint="eastAsia" w:ascii="仿宋" w:hAnsi="仿宋" w:eastAsia="仿宋" w:cs="仿宋"/>
          <w:sz w:val="32"/>
          <w:szCs w:val="32"/>
          <w:lang w:val="en-US" w:eastAsia="zh-CN"/>
        </w:rPr>
        <w:t>分布</w:t>
      </w:r>
      <w:r>
        <w:rPr>
          <w:rFonts w:hint="eastAsia" w:ascii="仿宋" w:hAnsi="仿宋" w:eastAsia="仿宋" w:cs="仿宋"/>
          <w:sz w:val="32"/>
          <w:szCs w:val="32"/>
        </w:rPr>
        <w:t>图》</w:t>
      </w:r>
    </w:p>
    <w:p>
      <w:pPr>
        <w:pStyle w:val="3"/>
        <w:keepNext w:val="0"/>
        <w:keepLines w:val="0"/>
        <w:pageBreakBefore w:val="0"/>
        <w:widowControl w:val="0"/>
        <w:kinsoku/>
        <w:wordWrap/>
        <w:overflowPunct/>
        <w:topLinePunct w:val="0"/>
        <w:autoSpaceDE/>
        <w:autoSpaceDN/>
        <w:bidi w:val="0"/>
        <w:adjustRightInd/>
        <w:snapToGrid/>
        <w:spacing w:line="500" w:lineRule="exact"/>
        <w:ind w:firstLine="1600" w:firstLineChars="500"/>
        <w:textAlignment w:val="auto"/>
        <w:rPr>
          <w:rFonts w:hint="eastAsia" w:ascii="仿宋" w:hAnsi="仿宋" w:eastAsia="仿宋" w:cs="仿宋"/>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tbl>
      <w:tblPr>
        <w:tblStyle w:val="9"/>
        <w:tblpPr w:leftFromText="180" w:rightFromText="180" w:vertAnchor="text" w:tblpY="-1795"/>
        <w:tblW w:w="14864" w:type="dxa"/>
        <w:tblInd w:w="0" w:type="dxa"/>
        <w:tblLayout w:type="fixed"/>
        <w:tblCellMar>
          <w:top w:w="0" w:type="dxa"/>
          <w:left w:w="108" w:type="dxa"/>
          <w:bottom w:w="0" w:type="dxa"/>
          <w:right w:w="108" w:type="dxa"/>
        </w:tblCellMar>
      </w:tblPr>
      <w:tblGrid>
        <w:gridCol w:w="14864"/>
      </w:tblGrid>
      <w:tr>
        <w:tblPrEx>
          <w:tblCellMar>
            <w:top w:w="0" w:type="dxa"/>
            <w:left w:w="108" w:type="dxa"/>
            <w:bottom w:w="0" w:type="dxa"/>
            <w:right w:w="108" w:type="dxa"/>
          </w:tblCellMar>
        </w:tblPrEx>
        <w:trPr>
          <w:trHeight w:val="1298" w:hRule="atLeast"/>
        </w:trPr>
        <w:tc>
          <w:tcPr>
            <w:tcW w:w="14864" w:type="dxa"/>
            <w:tcBorders>
              <w:top w:val="nil"/>
              <w:left w:val="nil"/>
              <w:bottom w:val="nil"/>
              <w:right w:val="nil"/>
            </w:tcBorders>
            <w:shd w:val="clear" w:color="auto" w:fill="auto"/>
          </w:tcPr>
          <w:p>
            <w:pPr>
              <w:pStyle w:val="2"/>
              <w:ind w:left="0" w:leftChars="0" w:firstLine="0" w:firstLineChars="0"/>
              <w:rPr>
                <w:rFonts w:hint="eastAsia"/>
              </w:rPr>
            </w:pPr>
          </w:p>
          <w:tbl>
            <w:tblPr>
              <w:tblStyle w:val="9"/>
              <w:tblW w:w="1455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686"/>
              <w:gridCol w:w="877"/>
              <w:gridCol w:w="1798"/>
              <w:gridCol w:w="1956"/>
              <w:gridCol w:w="874"/>
              <w:gridCol w:w="1432"/>
              <w:gridCol w:w="902"/>
              <w:gridCol w:w="876"/>
              <w:gridCol w:w="5"/>
              <w:gridCol w:w="1084"/>
              <w:gridCol w:w="5"/>
              <w:gridCol w:w="1027"/>
              <w:gridCol w:w="5"/>
              <w:gridCol w:w="1027"/>
              <w:gridCol w:w="5"/>
              <w:gridCol w:w="1027"/>
              <w:gridCol w:w="5"/>
              <w:gridCol w:w="959"/>
              <w:gridCol w:w="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70" w:hRule="atLeast"/>
              </w:trPr>
              <w:tc>
                <w:tcPr>
                  <w:tcW w:w="9406" w:type="dxa"/>
                  <w:gridSpan w:val="9"/>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ascii="方正小标宋_GBK" w:hAnsi="方正小标宋_GBK" w:eastAsia="方正小标宋_GBK" w:cs="方正小标宋_GBK"/>
                      <w:b/>
                      <w:bCs/>
                      <w:i w:val="0"/>
                      <w:iCs w:val="0"/>
                      <w:color w:val="000000"/>
                      <w:sz w:val="21"/>
                      <w:szCs w:val="21"/>
                      <w:u w:val="none"/>
                    </w:rPr>
                  </w:pPr>
                  <w:r>
                    <w:rPr>
                      <w:rFonts w:hint="default" w:ascii="方正小标宋_GBK" w:hAnsi="方正小标宋_GBK" w:eastAsia="方正小标宋_GBK" w:cs="方正小标宋_GBK"/>
                      <w:b/>
                      <w:bCs/>
                      <w:i w:val="0"/>
                      <w:iCs w:val="0"/>
                      <w:color w:val="000000"/>
                      <w:kern w:val="0"/>
                      <w:sz w:val="21"/>
                      <w:szCs w:val="21"/>
                      <w:u w:val="none"/>
                      <w:lang w:val="en-US" w:eastAsia="zh-CN" w:bidi="ar"/>
                    </w:rPr>
                    <w:t>附件1</w:t>
                  </w:r>
                </w:p>
              </w:tc>
              <w:tc>
                <w:tcPr>
                  <w:tcW w:w="1089"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32"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32"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32"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63"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70" w:hRule="atLeast"/>
              </w:trPr>
              <w:tc>
                <w:tcPr>
                  <w:tcW w:w="14554"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i w:val="0"/>
                      <w:iCs w:val="0"/>
                      <w:color w:val="000000"/>
                      <w:sz w:val="21"/>
                      <w:szCs w:val="21"/>
                      <w:u w:val="none"/>
                    </w:rPr>
                  </w:pPr>
                  <w:r>
                    <w:rPr>
                      <w:rFonts w:hint="default" w:ascii="方正小标宋_GBK" w:hAnsi="方正小标宋_GBK" w:eastAsia="方正小标宋_GBK" w:cs="方正小标宋_GBK"/>
                      <w:i w:val="0"/>
                      <w:iCs w:val="0"/>
                      <w:color w:val="000000"/>
                      <w:kern w:val="0"/>
                      <w:sz w:val="21"/>
                      <w:szCs w:val="21"/>
                      <w:u w:val="none"/>
                      <w:lang w:val="en-US" w:eastAsia="zh-CN" w:bidi="ar"/>
                    </w:rPr>
                    <w:t>临沧（市）双江自治县存量住宅用地项目清单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70" w:hRule="atLeast"/>
              </w:trPr>
              <w:tc>
                <w:tcPr>
                  <w:tcW w:w="9406"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 xml:space="preserve">填报日期： </w:t>
                  </w:r>
                  <w:r>
                    <w:rPr>
                      <w:rStyle w:val="17"/>
                      <w:lang w:val="en-US" w:eastAsia="zh-CN" w:bidi="ar"/>
                    </w:rPr>
                    <w:t xml:space="preserve">   202</w:t>
                  </w:r>
                  <w:r>
                    <w:rPr>
                      <w:rStyle w:val="17"/>
                      <w:rFonts w:hint="eastAsia"/>
                      <w:lang w:val="en-US" w:eastAsia="zh-CN" w:bidi="ar"/>
                    </w:rPr>
                    <w:t>4</w:t>
                  </w:r>
                  <w:r>
                    <w:rPr>
                      <w:rStyle w:val="17"/>
                      <w:lang w:val="en-US" w:eastAsia="zh-CN" w:bidi="ar"/>
                    </w:rPr>
                    <w:t>年</w:t>
                  </w:r>
                  <w:r>
                    <w:rPr>
                      <w:rStyle w:val="17"/>
                      <w:rFonts w:hint="eastAsia"/>
                      <w:lang w:val="en-US" w:eastAsia="zh-CN" w:bidi="ar"/>
                    </w:rPr>
                    <w:t>7</w:t>
                  </w:r>
                  <w:r>
                    <w:rPr>
                      <w:rStyle w:val="17"/>
                      <w:lang w:val="en-US" w:eastAsia="zh-CN" w:bidi="ar"/>
                    </w:rPr>
                    <w:t xml:space="preserve">月 </w:t>
                  </w:r>
                  <w:r>
                    <w:rPr>
                      <w:rStyle w:val="17"/>
                      <w:rFonts w:hint="eastAsia"/>
                      <w:lang w:val="en-US" w:eastAsia="zh-CN" w:bidi="ar"/>
                    </w:rPr>
                    <w:t>5</w:t>
                  </w:r>
                  <w:r>
                    <w:rPr>
                      <w:rStyle w:val="17"/>
                      <w:lang w:val="en-US" w:eastAsia="zh-CN" w:bidi="ar"/>
                    </w:rPr>
                    <w:t xml:space="preserve">日                                         单位：公顷                                                        </w:t>
                  </w:r>
                </w:p>
              </w:tc>
              <w:tc>
                <w:tcPr>
                  <w:tcW w:w="1089"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32"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32"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32"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63"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48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序号</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县（市、区)</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项目名称</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开发企业</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所在区和街道（乡镇）</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具体位置</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住宅类型</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土地面积</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供地时间</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约定开工时间</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约定竣工时间</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建设状态</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未销售房屋的土地面积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27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（5）</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（6）</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（7）</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（8）</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（9）</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（10）</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（11）</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85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双江自治县</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金碧华府小区</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海宏房地产投资开发（双江）有限公司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沙河乡</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允俸连接线北侧上段</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（点击看图）</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普通商品房</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2.594</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2019/12/19</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2020/11/19</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2021/11/19</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已动工未竣工</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eastAsia" w:ascii="方正仿宋_GBK" w:hAnsi="方正仿宋_GBK" w:eastAsia="方正仿宋_GBK" w:cs="方正仿宋_GBK"/>
                      <w:i w:val="0"/>
                      <w:iCs w:val="0"/>
                      <w:color w:val="000000"/>
                      <w:kern w:val="0"/>
                      <w:sz w:val="20"/>
                      <w:szCs w:val="20"/>
                      <w:u w:val="none"/>
                      <w:lang w:val="en-US" w:eastAsia="zh-CN" w:bidi="ar"/>
                    </w:rPr>
                    <w:t>2.0361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78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双江自治县</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双江1号家苑</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双江万欣房地产开发有限公司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沙河乡</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沙河乡行政服务中心片区</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普通商品房</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2.1788</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2020/6/29</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2021/5/29</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2022/5/29</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已动工未竣工</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default" w:ascii="方正仿宋_GBK" w:hAnsi="方正仿宋_GBK" w:eastAsia="方正仿宋_GBK" w:cs="方正仿宋_GBK"/>
                      <w:i w:val="0"/>
                      <w:iCs w:val="0"/>
                      <w:color w:val="000000"/>
                      <w:kern w:val="0"/>
                      <w:sz w:val="20"/>
                      <w:szCs w:val="20"/>
                      <w:u w:val="none"/>
                      <w:lang w:val="en-US" w:eastAsia="zh-CN" w:bidi="ar"/>
                    </w:rPr>
                    <w:t>2.1</w:t>
                  </w:r>
                  <w:r>
                    <w:rPr>
                      <w:rFonts w:hint="eastAsia" w:ascii="方正仿宋_GBK" w:hAnsi="方正仿宋_GBK" w:eastAsia="方正仿宋_GBK" w:cs="方正仿宋_GBK"/>
                      <w:i w:val="0"/>
                      <w:iCs w:val="0"/>
                      <w:color w:val="000000"/>
                      <w:kern w:val="0"/>
                      <w:sz w:val="20"/>
                      <w:szCs w:val="20"/>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72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双江自治县</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锦丽新城二期</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锦丽房地产开发有限责任公司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勐勐镇</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忙袜河片区</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普通商品房</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3.7917</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2021/11/8</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2022/10/18</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2023/10/18</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已动工未竣工</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default" w:ascii="方正仿宋_GBK" w:hAnsi="方正仿宋_GBK" w:eastAsia="方正仿宋_GBK" w:cs="方正仿宋_GBK"/>
                      <w:i w:val="0"/>
                      <w:iCs w:val="0"/>
                      <w:color w:val="000000"/>
                      <w:kern w:val="0"/>
                      <w:sz w:val="20"/>
                      <w:szCs w:val="20"/>
                      <w:u w:val="none"/>
                      <w:lang w:val="en-US" w:eastAsia="zh-CN" w:bidi="ar"/>
                    </w:rPr>
                    <w:t>0.</w:t>
                  </w:r>
                  <w:r>
                    <w:rPr>
                      <w:rFonts w:hint="eastAsia" w:ascii="方正仿宋_GBK" w:hAnsi="方正仿宋_GBK" w:eastAsia="方正仿宋_GBK" w:cs="方正仿宋_GBK"/>
                      <w:i w:val="0"/>
                      <w:iCs w:val="0"/>
                      <w:color w:val="000000"/>
                      <w:kern w:val="0"/>
                      <w:sz w:val="20"/>
                      <w:szCs w:val="20"/>
                      <w:u w:val="none"/>
                      <w:lang w:val="en-US" w:eastAsia="zh-CN" w:bidi="ar"/>
                    </w:rPr>
                    <w:t>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72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4</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双江自治县</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世纪广场二期</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双江伟途房地产开发有限公司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沙河乡</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县标南侧</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普通商品房</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0.7015</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2019/4/23</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2020/4/23</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2021/4/23</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已动工未竣工</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default" w:ascii="方正仿宋_GBK" w:hAnsi="方正仿宋_GBK" w:eastAsia="方正仿宋_GBK" w:cs="方正仿宋_GBK"/>
                      <w:i w:val="0"/>
                      <w:iCs w:val="0"/>
                      <w:color w:val="000000"/>
                      <w:kern w:val="0"/>
                      <w:sz w:val="20"/>
                      <w:szCs w:val="20"/>
                      <w:u w:val="none"/>
                      <w:lang w:val="en-US" w:eastAsia="zh-CN" w:bidi="ar"/>
                    </w:rPr>
                    <w:t>0.4</w:t>
                  </w:r>
                  <w:r>
                    <w:rPr>
                      <w:rFonts w:hint="eastAsia" w:ascii="方正仿宋_GBK" w:hAnsi="方正仿宋_GBK" w:eastAsia="方正仿宋_GBK" w:cs="方正仿宋_GBK"/>
                      <w:i w:val="0"/>
                      <w:iCs w:val="0"/>
                      <w:color w:val="000000"/>
                      <w:kern w:val="0"/>
                      <w:sz w:val="20"/>
                      <w:szCs w:val="20"/>
                      <w:u w:val="none"/>
                      <w:lang w:val="en-US" w:eastAsia="zh-CN" w:bidi="ar"/>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72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5</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双江自治县</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锦丽世家</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锦丽房地产开发有限责任公司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勐勐镇</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勐勐北路（铁厂坡脚）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普通商品房</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4.7435</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2014/4/15</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2014/4/20</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2016/4/20</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已动工未竣工</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default" w:ascii="方正仿宋_GBK" w:hAnsi="方正仿宋_GBK" w:eastAsia="方正仿宋_GBK" w:cs="方正仿宋_GBK"/>
                      <w:i w:val="0"/>
                      <w:iCs w:val="0"/>
                      <w:color w:val="000000"/>
                      <w:kern w:val="0"/>
                      <w:sz w:val="20"/>
                      <w:szCs w:val="20"/>
                      <w:u w:val="none"/>
                      <w:lang w:val="en-US" w:eastAsia="zh-CN" w:bidi="ar"/>
                    </w:rPr>
                    <w:t>4.</w:t>
                  </w:r>
                  <w:r>
                    <w:rPr>
                      <w:rFonts w:hint="eastAsia" w:ascii="方正仿宋_GBK" w:hAnsi="方正仿宋_GBK" w:eastAsia="方正仿宋_GBK" w:cs="方正仿宋_GBK"/>
                      <w:i w:val="0"/>
                      <w:iCs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72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6</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双江自治县</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江东首府</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云南恒江房地产开发有限公司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勐勐镇</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双江县体育馆东侧</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普通商品房</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1.8942</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2021/11/30</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2022/11/30</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2024/11/30</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已动工未竣工</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default" w:ascii="方正仿宋_GBK" w:hAnsi="方正仿宋_GBK" w:eastAsia="方正仿宋_GBK" w:cs="方正仿宋_GBK"/>
                      <w:i w:val="0"/>
                      <w:iCs w:val="0"/>
                      <w:color w:val="000000"/>
                      <w:kern w:val="0"/>
                      <w:sz w:val="20"/>
                      <w:szCs w:val="20"/>
                      <w:u w:val="none"/>
                      <w:lang w:val="en-US" w:eastAsia="zh-CN" w:bidi="ar"/>
                    </w:rPr>
                    <w:t>1.</w:t>
                  </w:r>
                  <w:r>
                    <w:rPr>
                      <w:rFonts w:hint="eastAsia" w:ascii="方正仿宋_GBK" w:hAnsi="方正仿宋_GBK" w:eastAsia="方正仿宋_GBK" w:cs="方正仿宋_GBK"/>
                      <w:i w:val="0"/>
                      <w:iCs w:val="0"/>
                      <w:color w:val="000000"/>
                      <w:kern w:val="0"/>
                      <w:sz w:val="20"/>
                      <w:szCs w:val="20"/>
                      <w:u w:val="none"/>
                      <w:lang w:val="en-US" w:eastAsia="zh-CN" w:bidi="ar"/>
                    </w:rPr>
                    <w:t>7180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72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7</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双江自治县</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昆明建投房地产开发有限公司开发项目</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昆明建投房地产开发有限公司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勐勐镇</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老政府片区</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普通商品房</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2.5549</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0"/>
                      <w:szCs w:val="20"/>
                      <w:u w:val="none"/>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0"/>
                      <w:szCs w:val="20"/>
                      <w:u w:val="none"/>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0"/>
                      <w:szCs w:val="20"/>
                      <w:u w:val="none"/>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未动工</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p>
              </w:tc>
            </w:tr>
          </w:tbl>
          <w:p>
            <w:pPr>
              <w:pStyle w:val="3"/>
            </w:pPr>
          </w:p>
        </w:tc>
      </w:tr>
    </w:tbl>
    <w:p>
      <w:pPr>
        <w:pStyle w:val="3"/>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填报说明：</w:t>
      </w:r>
    </w:p>
    <w:p>
      <w:pPr>
        <w:pStyle w:val="3"/>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1.关于（2）项目名称：填写楼盘名称或小区名称。</w:t>
      </w:r>
    </w:p>
    <w:p>
      <w:pPr>
        <w:pStyle w:val="3"/>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2.关于（3）开发企业：对应出让合同或者划拨决定书中的土地使用权人，应准确填写企业全称。</w:t>
      </w:r>
    </w:p>
    <w:p>
      <w:pPr>
        <w:pStyle w:val="3"/>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3.关于（4）所在区和街道（乡镇）：填写所在的市辖区和街道（乡镇）。</w:t>
      </w:r>
    </w:p>
    <w:p>
      <w:pPr>
        <w:pStyle w:val="3"/>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4.关于（5）具体位置：填写详细地址或四至。</w:t>
      </w:r>
    </w:p>
    <w:p>
      <w:pPr>
        <w:pStyle w:val="3"/>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5.关于（6）住宅类型：选择填写“普通商品房”“租赁型商品房”“共有产权房”“公租房”“保障性租赁住房”。</w:t>
      </w:r>
    </w:p>
    <w:p>
      <w:pPr>
        <w:pStyle w:val="3"/>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6.关于（7）土地面积：填写出让合同或划拨决定书供应面积。</w:t>
      </w:r>
    </w:p>
    <w:p>
      <w:pPr>
        <w:pStyle w:val="3"/>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7.关于（8）供地时间：填写出让合同签订日期或划拨决定书核发日期。</w:t>
      </w:r>
    </w:p>
    <w:p>
      <w:pPr>
        <w:pStyle w:val="3"/>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8.关于（9）约定开工时间：填写出让合同或划拨决定书约定、规定的开工日期。</w:t>
      </w:r>
    </w:p>
    <w:p>
      <w:pPr>
        <w:pStyle w:val="3"/>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9.关于（10）约定竣工时间：填写出让合同或划拨决定书约定、规定的竣工日期。</w:t>
      </w:r>
    </w:p>
    <w:p>
      <w:pPr>
        <w:pStyle w:val="3"/>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10.关于（11）建设状态：选择填写“已动工未竣工”“未动工”。</w:t>
      </w:r>
    </w:p>
    <w:p>
      <w:pPr>
        <w:pStyle w:val="3"/>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11.关于（12）未销售房屋的土地面积：此项只针对“已动工未竣工”的项目，“未动工”项目不需填写。核算方法为：设该地块总面积为S，其出让合同中约定的容积率为R，已核发销售许可证或预售许可证的建筑面积为A，则未纳入房屋销售的土地面积=S-A/R。其中A的具体数值应根据房屋主管部门依法核发的证载面积确定。</w:t>
      </w:r>
    </w:p>
    <w:p>
      <w:pPr>
        <w:pStyle w:val="3"/>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12.各表项数量关系：（7）≥（12）。</w:t>
      </w:r>
    </w:p>
    <w:p>
      <w:pPr>
        <w:pStyle w:val="2"/>
        <w:rPr>
          <w:rFonts w:hint="eastAsia" w:ascii="仿宋" w:hAnsi="仿宋" w:eastAsia="仿宋" w:cs="仿宋"/>
          <w:sz w:val="21"/>
          <w:szCs w:val="21"/>
          <w:highlight w:val="none"/>
          <w:shd w:val="clear" w:color="auto" w:fill="auto"/>
        </w:rPr>
      </w:pPr>
    </w:p>
    <w:p>
      <w:pPr>
        <w:pStyle w:val="2"/>
        <w:ind w:left="0" w:leftChars="0" w:firstLine="0" w:firstLineChars="0"/>
        <w:rPr>
          <w:rFonts w:hint="eastAsia"/>
        </w:rPr>
      </w:pPr>
    </w:p>
    <w:tbl>
      <w:tblPr>
        <w:tblStyle w:val="9"/>
        <w:tblW w:w="15157" w:type="dxa"/>
        <w:tblInd w:w="93" w:type="dxa"/>
        <w:tblLayout w:type="autofit"/>
        <w:tblCellMar>
          <w:top w:w="0" w:type="dxa"/>
          <w:left w:w="108" w:type="dxa"/>
          <w:bottom w:w="0" w:type="dxa"/>
          <w:right w:w="108" w:type="dxa"/>
        </w:tblCellMar>
      </w:tblPr>
      <w:tblGrid>
        <w:gridCol w:w="1389"/>
        <w:gridCol w:w="1395"/>
        <w:gridCol w:w="3093"/>
        <w:gridCol w:w="2414"/>
        <w:gridCol w:w="3433"/>
        <w:gridCol w:w="3433"/>
      </w:tblGrid>
      <w:tr>
        <w:tblPrEx>
          <w:tblCellMar>
            <w:top w:w="0" w:type="dxa"/>
            <w:left w:w="108" w:type="dxa"/>
            <w:bottom w:w="0" w:type="dxa"/>
            <w:right w:w="108" w:type="dxa"/>
          </w:tblCellMar>
        </w:tblPrEx>
        <w:trPr>
          <w:trHeight w:val="779" w:hRule="atLeast"/>
        </w:trPr>
        <w:tc>
          <w:tcPr>
            <w:tcW w:w="15157" w:type="dxa"/>
            <w:gridSpan w:val="6"/>
            <w:tcBorders>
              <w:top w:val="nil"/>
              <w:left w:val="nil"/>
              <w:bottom w:val="nil"/>
              <w:right w:val="nil"/>
            </w:tcBorders>
            <w:shd w:val="clear" w:color="auto" w:fill="auto"/>
            <w:noWrap/>
            <w:vAlign w:val="center"/>
          </w:tcPr>
          <w:p>
            <w:pPr>
              <w:widowControl/>
              <w:jc w:val="left"/>
              <w:rPr>
                <w:rFonts w:hint="eastAsia" w:ascii="方正仿宋_GBK" w:hAnsi="宋体" w:eastAsia="方正仿宋_GBK" w:cs="宋体"/>
                <w:color w:val="000000"/>
                <w:kern w:val="0"/>
                <w:sz w:val="28"/>
                <w:szCs w:val="28"/>
                <w:lang w:val="en-US" w:eastAsia="zh-CN"/>
              </w:rPr>
            </w:pPr>
            <w:r>
              <w:rPr>
                <w:rFonts w:hint="eastAsia" w:ascii="方正小标宋_GBK" w:hAnsi="方正小标宋_GBK" w:eastAsia="方正小标宋_GBK" w:cs="方正小标宋_GBK"/>
                <w:b/>
                <w:bCs/>
                <w:color w:val="000000"/>
                <w:kern w:val="0"/>
                <w:sz w:val="32"/>
                <w:szCs w:val="32"/>
              </w:rPr>
              <w:t>附件</w:t>
            </w:r>
            <w:r>
              <w:rPr>
                <w:rFonts w:hint="eastAsia" w:ascii="方正小标宋_GBK" w:hAnsi="方正小标宋_GBK" w:eastAsia="方正小标宋_GBK" w:cs="方正小标宋_GBK"/>
                <w:b/>
                <w:bCs/>
                <w:color w:val="000000"/>
                <w:kern w:val="0"/>
                <w:sz w:val="32"/>
                <w:szCs w:val="32"/>
                <w:lang w:val="en-US" w:eastAsia="zh-CN"/>
              </w:rPr>
              <w:t>2</w:t>
            </w:r>
          </w:p>
        </w:tc>
      </w:tr>
      <w:tr>
        <w:tblPrEx>
          <w:tblCellMar>
            <w:top w:w="0" w:type="dxa"/>
            <w:left w:w="108" w:type="dxa"/>
            <w:bottom w:w="0" w:type="dxa"/>
            <w:right w:w="108" w:type="dxa"/>
          </w:tblCellMar>
        </w:tblPrEx>
        <w:trPr>
          <w:trHeight w:val="936" w:hRule="atLeast"/>
        </w:trPr>
        <w:tc>
          <w:tcPr>
            <w:tcW w:w="15157" w:type="dxa"/>
            <w:gridSpan w:val="6"/>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临沧市（市）双江</w:t>
            </w:r>
            <w:r>
              <w:rPr>
                <w:rFonts w:hint="eastAsia" w:ascii="方正小标宋_GBK" w:hAnsi="宋体" w:eastAsia="方正小标宋_GBK" w:cs="宋体"/>
                <w:color w:val="000000"/>
                <w:kern w:val="0"/>
                <w:sz w:val="36"/>
                <w:szCs w:val="36"/>
                <w:lang w:val="en-US" w:eastAsia="zh-CN"/>
              </w:rPr>
              <w:t>自治</w:t>
            </w:r>
            <w:r>
              <w:rPr>
                <w:rFonts w:hint="eastAsia" w:ascii="方正小标宋_GBK" w:hAnsi="宋体" w:eastAsia="方正小标宋_GBK" w:cs="宋体"/>
                <w:color w:val="000000"/>
                <w:kern w:val="0"/>
                <w:sz w:val="36"/>
                <w:szCs w:val="36"/>
              </w:rPr>
              <w:t>县存量住宅用地信息汇总表</w:t>
            </w:r>
          </w:p>
        </w:tc>
      </w:tr>
      <w:tr>
        <w:tblPrEx>
          <w:tblCellMar>
            <w:top w:w="0" w:type="dxa"/>
            <w:left w:w="108" w:type="dxa"/>
            <w:bottom w:w="0" w:type="dxa"/>
            <w:right w:w="108" w:type="dxa"/>
          </w:tblCellMar>
        </w:tblPrEx>
        <w:trPr>
          <w:trHeight w:val="743" w:hRule="atLeast"/>
        </w:trPr>
        <w:tc>
          <w:tcPr>
            <w:tcW w:w="15157" w:type="dxa"/>
            <w:gridSpan w:val="6"/>
            <w:tcBorders>
              <w:top w:val="nil"/>
              <w:left w:val="nil"/>
              <w:bottom w:val="nil"/>
              <w:right w:val="nil"/>
            </w:tcBorders>
            <w:shd w:val="clear" w:color="auto" w:fill="auto"/>
            <w:noWrap/>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填报日期：  202</w:t>
            </w:r>
            <w:r>
              <w:rPr>
                <w:rFonts w:hint="eastAsia" w:ascii="方正仿宋_GBK" w:hAnsi="宋体" w:eastAsia="方正仿宋_GBK" w:cs="宋体"/>
                <w:color w:val="000000"/>
                <w:kern w:val="0"/>
                <w:sz w:val="28"/>
                <w:szCs w:val="28"/>
                <w:lang w:val="en-US" w:eastAsia="zh-CN"/>
              </w:rPr>
              <w:t>4</w:t>
            </w:r>
            <w:r>
              <w:rPr>
                <w:rFonts w:hint="eastAsia" w:ascii="方正仿宋_GBK" w:hAnsi="宋体" w:eastAsia="方正仿宋_GBK" w:cs="宋体"/>
                <w:color w:val="000000"/>
                <w:kern w:val="0"/>
                <w:sz w:val="28"/>
                <w:szCs w:val="28"/>
              </w:rPr>
              <w:t>年</w:t>
            </w:r>
            <w:r>
              <w:rPr>
                <w:rFonts w:hint="eastAsia" w:ascii="方正仿宋_GBK" w:hAnsi="宋体" w:eastAsia="方正仿宋_GBK" w:cs="宋体"/>
                <w:color w:val="000000"/>
                <w:kern w:val="0"/>
                <w:sz w:val="28"/>
                <w:szCs w:val="28"/>
                <w:lang w:val="en-US" w:eastAsia="zh-CN"/>
              </w:rPr>
              <w:t>7</w:t>
            </w:r>
            <w:r>
              <w:rPr>
                <w:rFonts w:hint="eastAsia" w:ascii="方正仿宋_GBK" w:hAnsi="宋体" w:eastAsia="方正仿宋_GBK" w:cs="宋体"/>
                <w:color w:val="000000"/>
                <w:kern w:val="0"/>
                <w:sz w:val="28"/>
                <w:szCs w:val="28"/>
              </w:rPr>
              <w:t>月</w:t>
            </w:r>
            <w:r>
              <w:rPr>
                <w:rFonts w:hint="eastAsia" w:ascii="方正仿宋_GBK" w:hAnsi="宋体" w:eastAsia="方正仿宋_GBK" w:cs="宋体"/>
                <w:color w:val="000000"/>
                <w:kern w:val="0"/>
                <w:sz w:val="28"/>
                <w:szCs w:val="28"/>
                <w:lang w:val="en-US" w:eastAsia="zh-CN"/>
              </w:rPr>
              <w:t>5</w:t>
            </w:r>
            <w:r>
              <w:rPr>
                <w:rFonts w:hint="eastAsia" w:ascii="方正仿宋_GBK" w:hAnsi="宋体" w:eastAsia="方正仿宋_GBK" w:cs="宋体"/>
                <w:color w:val="000000"/>
                <w:kern w:val="0"/>
                <w:sz w:val="28"/>
                <w:szCs w:val="28"/>
              </w:rPr>
              <w:t xml:space="preserve">日                                                      单位：公顷                  </w:t>
            </w:r>
          </w:p>
        </w:tc>
      </w:tr>
      <w:tr>
        <w:tblPrEx>
          <w:tblCellMar>
            <w:top w:w="0" w:type="dxa"/>
            <w:left w:w="108" w:type="dxa"/>
            <w:bottom w:w="0" w:type="dxa"/>
            <w:right w:w="108" w:type="dxa"/>
          </w:tblCellMar>
        </w:tblPrEx>
        <w:trPr>
          <w:trHeight w:val="545" w:hRule="atLeast"/>
        </w:trPr>
        <w:tc>
          <w:tcPr>
            <w:tcW w:w="138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县（市、区）</w:t>
            </w:r>
          </w:p>
        </w:tc>
        <w:tc>
          <w:tcPr>
            <w:tcW w:w="1395"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项目总数</w:t>
            </w:r>
          </w:p>
        </w:tc>
        <w:tc>
          <w:tcPr>
            <w:tcW w:w="3093"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存量住宅用地总面积</w:t>
            </w:r>
          </w:p>
        </w:tc>
        <w:tc>
          <w:tcPr>
            <w:tcW w:w="9280" w:type="dxa"/>
            <w:gridSpan w:val="3"/>
            <w:tcBorders>
              <w:top w:val="single" w:color="auto" w:sz="4" w:space="0"/>
              <w:left w:val="nil"/>
              <w:bottom w:val="nil"/>
              <w:right w:val="single" w:color="000000"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tblPrEx>
          <w:tblCellMar>
            <w:top w:w="0" w:type="dxa"/>
            <w:left w:w="108" w:type="dxa"/>
            <w:bottom w:w="0" w:type="dxa"/>
            <w:right w:w="108" w:type="dxa"/>
          </w:tblCellMar>
        </w:tblPrEx>
        <w:trPr>
          <w:trHeight w:val="413" w:hRule="atLeast"/>
        </w:trPr>
        <w:tc>
          <w:tcPr>
            <w:tcW w:w="138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方正仿宋_GBK" w:hAnsi="宋体" w:eastAsia="方正仿宋_GBK" w:cs="宋体"/>
                <w:color w:val="000000"/>
                <w:kern w:val="0"/>
                <w:sz w:val="28"/>
                <w:szCs w:val="28"/>
              </w:rPr>
            </w:pPr>
          </w:p>
        </w:tc>
        <w:tc>
          <w:tcPr>
            <w:tcW w:w="139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方正仿宋_GBK" w:hAnsi="宋体" w:eastAsia="方正仿宋_GBK" w:cs="宋体"/>
                <w:color w:val="000000"/>
                <w:kern w:val="0"/>
                <w:sz w:val="28"/>
                <w:szCs w:val="28"/>
              </w:rPr>
            </w:pPr>
          </w:p>
        </w:tc>
        <w:tc>
          <w:tcPr>
            <w:tcW w:w="309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方正仿宋_GBK" w:hAnsi="宋体" w:eastAsia="方正仿宋_GBK" w:cs="宋体"/>
                <w:color w:val="000000"/>
                <w:kern w:val="0"/>
                <w:sz w:val="28"/>
                <w:szCs w:val="28"/>
              </w:rPr>
            </w:pPr>
          </w:p>
        </w:tc>
        <w:tc>
          <w:tcPr>
            <w:tcW w:w="241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未动工土地面积</w:t>
            </w:r>
          </w:p>
        </w:tc>
        <w:tc>
          <w:tcPr>
            <w:tcW w:w="3433" w:type="dxa"/>
            <w:vMerge w:val="restart"/>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已动工未竣工土地面积</w:t>
            </w:r>
          </w:p>
        </w:tc>
        <w:tc>
          <w:tcPr>
            <w:tcW w:w="3433" w:type="dxa"/>
            <w:tcBorders>
              <w:top w:val="single" w:color="auto" w:sz="4" w:space="0"/>
              <w:left w:val="nil"/>
              <w:bottom w:val="nil"/>
              <w:right w:val="single" w:color="auto" w:sz="4" w:space="0"/>
            </w:tcBorders>
            <w:shd w:val="clear" w:color="auto" w:fill="auto"/>
            <w:noWrap/>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tblPrEx>
          <w:tblCellMar>
            <w:top w:w="0" w:type="dxa"/>
            <w:left w:w="108" w:type="dxa"/>
            <w:bottom w:w="0" w:type="dxa"/>
            <w:right w:w="108" w:type="dxa"/>
          </w:tblCellMar>
        </w:tblPrEx>
        <w:trPr>
          <w:trHeight w:val="545" w:hRule="atLeast"/>
        </w:trPr>
        <w:tc>
          <w:tcPr>
            <w:tcW w:w="138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方正仿宋_GBK" w:hAnsi="宋体" w:eastAsia="方正仿宋_GBK" w:cs="宋体"/>
                <w:color w:val="000000"/>
                <w:kern w:val="0"/>
                <w:sz w:val="28"/>
                <w:szCs w:val="28"/>
              </w:rPr>
            </w:pPr>
          </w:p>
        </w:tc>
        <w:tc>
          <w:tcPr>
            <w:tcW w:w="139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方正仿宋_GBK" w:hAnsi="宋体" w:eastAsia="方正仿宋_GBK" w:cs="宋体"/>
                <w:color w:val="000000"/>
                <w:kern w:val="0"/>
                <w:sz w:val="28"/>
                <w:szCs w:val="28"/>
              </w:rPr>
            </w:pPr>
          </w:p>
        </w:tc>
        <w:tc>
          <w:tcPr>
            <w:tcW w:w="309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方正仿宋_GBK" w:hAnsi="宋体" w:eastAsia="方正仿宋_GBK" w:cs="宋体"/>
                <w:color w:val="000000"/>
                <w:kern w:val="0"/>
                <w:sz w:val="28"/>
                <w:szCs w:val="28"/>
              </w:rPr>
            </w:pPr>
          </w:p>
        </w:tc>
        <w:tc>
          <w:tcPr>
            <w:tcW w:w="24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8"/>
                <w:szCs w:val="28"/>
              </w:rPr>
            </w:pPr>
          </w:p>
        </w:tc>
        <w:tc>
          <w:tcPr>
            <w:tcW w:w="3433" w:type="dxa"/>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方正仿宋_GBK" w:hAnsi="宋体" w:eastAsia="方正仿宋_GBK" w:cs="宋体"/>
                <w:color w:val="000000"/>
                <w:kern w:val="0"/>
                <w:sz w:val="28"/>
                <w:szCs w:val="28"/>
              </w:rPr>
            </w:pPr>
          </w:p>
        </w:tc>
        <w:tc>
          <w:tcPr>
            <w:tcW w:w="343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未销售房屋的土地面积</w:t>
            </w:r>
          </w:p>
        </w:tc>
      </w:tr>
      <w:tr>
        <w:tblPrEx>
          <w:tblCellMar>
            <w:top w:w="0" w:type="dxa"/>
            <w:left w:w="108" w:type="dxa"/>
            <w:bottom w:w="0" w:type="dxa"/>
            <w:right w:w="108" w:type="dxa"/>
          </w:tblCellMar>
        </w:tblPrEx>
        <w:trPr>
          <w:trHeight w:val="90" w:hRule="atLeast"/>
        </w:trPr>
        <w:tc>
          <w:tcPr>
            <w:tcW w:w="13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w:t>
            </w:r>
            <w:r>
              <w:rPr>
                <w:rFonts w:hint="eastAsia" w:ascii="方正仿宋_GBK" w:hAnsi="宋体" w:eastAsia="方正仿宋_GBK" w:cs="宋体"/>
                <w:color w:val="000000"/>
                <w:kern w:val="0"/>
                <w:sz w:val="28"/>
                <w:szCs w:val="28"/>
                <w:lang w:val="en-US" w:eastAsia="zh-CN"/>
              </w:rPr>
              <w:t>0</w:t>
            </w:r>
            <w:r>
              <w:rPr>
                <w:rFonts w:hint="eastAsia" w:ascii="方正仿宋_GBK" w:hAnsi="宋体" w:eastAsia="方正仿宋_GBK" w:cs="宋体"/>
                <w:color w:val="000000"/>
                <w:kern w:val="0"/>
                <w:sz w:val="28"/>
                <w:szCs w:val="28"/>
              </w:rPr>
              <w:t>）</w:t>
            </w:r>
          </w:p>
        </w:tc>
        <w:tc>
          <w:tcPr>
            <w:tcW w:w="1395"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w:t>
            </w:r>
            <w:r>
              <w:rPr>
                <w:rFonts w:hint="eastAsia" w:ascii="方正仿宋_GBK" w:hAnsi="宋体" w:eastAsia="方正仿宋_GBK" w:cs="宋体"/>
                <w:color w:val="000000"/>
                <w:kern w:val="0"/>
                <w:sz w:val="28"/>
                <w:szCs w:val="28"/>
                <w:lang w:val="en-US" w:eastAsia="zh-CN"/>
              </w:rPr>
              <w:t>1</w:t>
            </w:r>
            <w:r>
              <w:rPr>
                <w:rFonts w:hint="eastAsia" w:ascii="方正仿宋_GBK" w:hAnsi="宋体" w:eastAsia="方正仿宋_GBK" w:cs="宋体"/>
                <w:color w:val="000000"/>
                <w:kern w:val="0"/>
                <w:sz w:val="28"/>
                <w:szCs w:val="28"/>
              </w:rPr>
              <w:t>）</w:t>
            </w:r>
          </w:p>
        </w:tc>
        <w:tc>
          <w:tcPr>
            <w:tcW w:w="3093"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w:t>
            </w:r>
            <w:r>
              <w:rPr>
                <w:rFonts w:hint="eastAsia" w:ascii="方正仿宋_GBK" w:hAnsi="宋体" w:eastAsia="方正仿宋_GBK" w:cs="宋体"/>
                <w:color w:val="000000"/>
                <w:kern w:val="0"/>
                <w:sz w:val="28"/>
                <w:szCs w:val="28"/>
                <w:lang w:val="en-US" w:eastAsia="zh-CN"/>
              </w:rPr>
              <w:t>2</w:t>
            </w:r>
            <w:r>
              <w:rPr>
                <w:rFonts w:hint="eastAsia" w:ascii="方正仿宋_GBK" w:hAnsi="宋体" w:eastAsia="方正仿宋_GBK" w:cs="宋体"/>
                <w:color w:val="000000"/>
                <w:kern w:val="0"/>
                <w:sz w:val="28"/>
                <w:szCs w:val="28"/>
              </w:rPr>
              <w:t>）</w:t>
            </w:r>
          </w:p>
        </w:tc>
        <w:tc>
          <w:tcPr>
            <w:tcW w:w="2414"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w:t>
            </w:r>
            <w:r>
              <w:rPr>
                <w:rFonts w:hint="eastAsia" w:ascii="方正仿宋_GBK" w:hAnsi="宋体" w:eastAsia="方正仿宋_GBK" w:cs="宋体"/>
                <w:color w:val="000000"/>
                <w:kern w:val="0"/>
                <w:sz w:val="28"/>
                <w:szCs w:val="28"/>
                <w:lang w:val="en-US" w:eastAsia="zh-CN"/>
              </w:rPr>
              <w:t>3</w:t>
            </w:r>
            <w:r>
              <w:rPr>
                <w:rFonts w:hint="eastAsia" w:ascii="方正仿宋_GBK" w:hAnsi="宋体" w:eastAsia="方正仿宋_GBK" w:cs="宋体"/>
                <w:color w:val="000000"/>
                <w:kern w:val="0"/>
                <w:sz w:val="28"/>
                <w:szCs w:val="28"/>
              </w:rPr>
              <w:t>）</w:t>
            </w:r>
          </w:p>
        </w:tc>
        <w:tc>
          <w:tcPr>
            <w:tcW w:w="3433"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w:t>
            </w:r>
            <w:r>
              <w:rPr>
                <w:rFonts w:hint="eastAsia" w:ascii="方正仿宋_GBK" w:hAnsi="宋体" w:eastAsia="方正仿宋_GBK" w:cs="宋体"/>
                <w:color w:val="000000"/>
                <w:kern w:val="0"/>
                <w:sz w:val="28"/>
                <w:szCs w:val="28"/>
                <w:lang w:val="en-US" w:eastAsia="zh-CN"/>
              </w:rPr>
              <w:t>4</w:t>
            </w:r>
            <w:r>
              <w:rPr>
                <w:rFonts w:hint="eastAsia" w:ascii="方正仿宋_GBK" w:hAnsi="宋体" w:eastAsia="方正仿宋_GBK" w:cs="宋体"/>
                <w:color w:val="000000"/>
                <w:kern w:val="0"/>
                <w:sz w:val="28"/>
                <w:szCs w:val="28"/>
              </w:rPr>
              <w:t>）</w:t>
            </w:r>
          </w:p>
        </w:tc>
        <w:tc>
          <w:tcPr>
            <w:tcW w:w="3433"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w:t>
            </w:r>
            <w:r>
              <w:rPr>
                <w:rFonts w:hint="eastAsia" w:ascii="方正仿宋_GBK" w:hAnsi="宋体" w:eastAsia="方正仿宋_GBK" w:cs="宋体"/>
                <w:color w:val="000000"/>
                <w:kern w:val="0"/>
                <w:sz w:val="28"/>
                <w:szCs w:val="28"/>
                <w:lang w:val="en-US" w:eastAsia="zh-CN"/>
              </w:rPr>
              <w:t>5</w:t>
            </w:r>
            <w:r>
              <w:rPr>
                <w:rFonts w:hint="eastAsia" w:ascii="方正仿宋_GBK" w:hAnsi="宋体" w:eastAsia="方正仿宋_GBK" w:cs="宋体"/>
                <w:color w:val="000000"/>
                <w:kern w:val="0"/>
                <w:sz w:val="28"/>
                <w:szCs w:val="28"/>
              </w:rPr>
              <w:t>）</w:t>
            </w:r>
          </w:p>
        </w:tc>
      </w:tr>
      <w:tr>
        <w:tblPrEx>
          <w:tblCellMar>
            <w:top w:w="0" w:type="dxa"/>
            <w:left w:w="108" w:type="dxa"/>
            <w:bottom w:w="0" w:type="dxa"/>
            <w:right w:w="108" w:type="dxa"/>
          </w:tblCellMar>
        </w:tblPrEx>
        <w:trPr>
          <w:trHeight w:val="545" w:hRule="atLeast"/>
        </w:trPr>
        <w:tc>
          <w:tcPr>
            <w:tcW w:w="13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双江</w:t>
            </w:r>
            <w:r>
              <w:rPr>
                <w:rFonts w:hint="eastAsia" w:ascii="方正仿宋_GBK" w:hAnsi="宋体" w:eastAsia="方正仿宋_GBK" w:cs="宋体"/>
                <w:color w:val="000000"/>
                <w:kern w:val="0"/>
                <w:sz w:val="28"/>
                <w:szCs w:val="28"/>
                <w:lang w:val="en-US" w:eastAsia="zh-CN"/>
              </w:rPr>
              <w:t>自治</w:t>
            </w:r>
            <w:r>
              <w:rPr>
                <w:rFonts w:hint="eastAsia" w:ascii="方正仿宋_GBK" w:hAnsi="宋体" w:eastAsia="方正仿宋_GBK" w:cs="宋体"/>
                <w:color w:val="000000"/>
                <w:kern w:val="0"/>
                <w:sz w:val="28"/>
                <w:szCs w:val="28"/>
              </w:rPr>
              <w:t>县</w:t>
            </w:r>
          </w:p>
        </w:tc>
        <w:tc>
          <w:tcPr>
            <w:tcW w:w="13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宋体" w:eastAsia="方正仿宋_GBK" w:cs="宋体"/>
                <w:color w:val="000000"/>
                <w:kern w:val="0"/>
                <w:sz w:val="28"/>
                <w:szCs w:val="28"/>
                <w:lang w:eastAsia="zh-CN"/>
              </w:rPr>
            </w:pPr>
            <w:r>
              <w:rPr>
                <w:rFonts w:hint="eastAsia" w:ascii="方正仿宋_GBK" w:hAnsi="宋体" w:eastAsia="方正仿宋_GBK" w:cs="宋体"/>
                <w:color w:val="000000"/>
                <w:kern w:val="0"/>
                <w:sz w:val="28"/>
                <w:szCs w:val="28"/>
                <w:lang w:val="en-US" w:eastAsia="zh-CN"/>
              </w:rPr>
              <w:t>7</w:t>
            </w:r>
          </w:p>
        </w:tc>
        <w:tc>
          <w:tcPr>
            <w:tcW w:w="309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18.4586</w:t>
            </w:r>
          </w:p>
        </w:tc>
        <w:tc>
          <w:tcPr>
            <w:tcW w:w="241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2.5549</w:t>
            </w:r>
          </w:p>
        </w:tc>
        <w:tc>
          <w:tcPr>
            <w:tcW w:w="343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15.9037</w:t>
            </w:r>
          </w:p>
        </w:tc>
        <w:tc>
          <w:tcPr>
            <w:tcW w:w="343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10.9473</w:t>
            </w:r>
          </w:p>
        </w:tc>
      </w:tr>
      <w:tr>
        <w:tblPrEx>
          <w:tblCellMar>
            <w:top w:w="0" w:type="dxa"/>
            <w:left w:w="108" w:type="dxa"/>
            <w:bottom w:w="0" w:type="dxa"/>
            <w:right w:w="108" w:type="dxa"/>
          </w:tblCellMar>
        </w:tblPrEx>
        <w:trPr>
          <w:trHeight w:val="545" w:hRule="atLeast"/>
        </w:trPr>
        <w:tc>
          <w:tcPr>
            <w:tcW w:w="13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395"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3093"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2414"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3433"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3433"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tblPrEx>
          <w:tblCellMar>
            <w:top w:w="0" w:type="dxa"/>
            <w:left w:w="108" w:type="dxa"/>
            <w:bottom w:w="0" w:type="dxa"/>
            <w:right w:w="108" w:type="dxa"/>
          </w:tblCellMar>
        </w:tblPrEx>
        <w:trPr>
          <w:trHeight w:val="684" w:hRule="atLeast"/>
        </w:trPr>
        <w:tc>
          <w:tcPr>
            <w:tcW w:w="15157" w:type="dxa"/>
            <w:gridSpan w:val="6"/>
            <w:tcBorders>
              <w:top w:val="nil"/>
              <w:left w:val="nil"/>
              <w:bottom w:val="nil"/>
              <w:right w:val="nil"/>
            </w:tcBorders>
            <w:shd w:val="clear" w:color="auto" w:fill="auto"/>
            <w:noWrap/>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填表说明：各表项数量关系（</w:t>
            </w:r>
            <w:r>
              <w:rPr>
                <w:rFonts w:hint="eastAsia" w:ascii="方正仿宋_GBK" w:hAnsi="宋体" w:eastAsia="方正仿宋_GBK" w:cs="宋体"/>
                <w:color w:val="000000"/>
                <w:kern w:val="0"/>
                <w:sz w:val="28"/>
                <w:szCs w:val="28"/>
                <w:lang w:val="en-US" w:eastAsia="zh-CN"/>
              </w:rPr>
              <w:t>2</w:t>
            </w:r>
            <w:r>
              <w:rPr>
                <w:rFonts w:hint="eastAsia" w:ascii="方正仿宋_GBK" w:hAnsi="宋体" w:eastAsia="方正仿宋_GBK" w:cs="宋体"/>
                <w:color w:val="000000"/>
                <w:kern w:val="0"/>
                <w:sz w:val="28"/>
                <w:szCs w:val="28"/>
              </w:rPr>
              <w:t>）=（</w:t>
            </w:r>
            <w:r>
              <w:rPr>
                <w:rFonts w:hint="eastAsia" w:ascii="方正仿宋_GBK" w:hAnsi="宋体" w:eastAsia="方正仿宋_GBK" w:cs="宋体"/>
                <w:color w:val="000000"/>
                <w:kern w:val="0"/>
                <w:sz w:val="28"/>
                <w:szCs w:val="28"/>
                <w:lang w:val="en-US" w:eastAsia="zh-CN"/>
              </w:rPr>
              <w:t>3</w:t>
            </w:r>
            <w:r>
              <w:rPr>
                <w:rFonts w:hint="eastAsia" w:ascii="方正仿宋_GBK" w:hAnsi="宋体" w:eastAsia="方正仿宋_GBK" w:cs="宋体"/>
                <w:color w:val="000000"/>
                <w:kern w:val="0"/>
                <w:sz w:val="28"/>
                <w:szCs w:val="28"/>
              </w:rPr>
              <w:t>）+（</w:t>
            </w:r>
            <w:r>
              <w:rPr>
                <w:rFonts w:hint="eastAsia" w:ascii="方正仿宋_GBK" w:hAnsi="宋体" w:eastAsia="方正仿宋_GBK" w:cs="宋体"/>
                <w:color w:val="000000"/>
                <w:kern w:val="0"/>
                <w:sz w:val="28"/>
                <w:szCs w:val="28"/>
                <w:lang w:val="en-US" w:eastAsia="zh-CN"/>
              </w:rPr>
              <w:t>4</w:t>
            </w:r>
            <w:r>
              <w:rPr>
                <w:rFonts w:hint="eastAsia" w:ascii="方正仿宋_GBK" w:hAnsi="宋体" w:eastAsia="方正仿宋_GBK" w:cs="宋体"/>
                <w:color w:val="000000"/>
                <w:kern w:val="0"/>
                <w:sz w:val="28"/>
                <w:szCs w:val="28"/>
              </w:rPr>
              <w:t>），（</w:t>
            </w:r>
            <w:r>
              <w:rPr>
                <w:rFonts w:hint="eastAsia" w:ascii="方正仿宋_GBK" w:hAnsi="宋体" w:eastAsia="方正仿宋_GBK" w:cs="宋体"/>
                <w:color w:val="000000"/>
                <w:kern w:val="0"/>
                <w:sz w:val="28"/>
                <w:szCs w:val="28"/>
                <w:lang w:val="en-US" w:eastAsia="zh-CN"/>
              </w:rPr>
              <w:t>4</w:t>
            </w:r>
            <w:r>
              <w:rPr>
                <w:rFonts w:hint="eastAsia" w:ascii="方正仿宋_GBK" w:hAnsi="宋体" w:eastAsia="方正仿宋_GBK" w:cs="宋体"/>
                <w:color w:val="000000"/>
                <w:kern w:val="0"/>
                <w:sz w:val="28"/>
                <w:szCs w:val="28"/>
              </w:rPr>
              <w:t>）≥（</w:t>
            </w:r>
            <w:r>
              <w:rPr>
                <w:rFonts w:hint="eastAsia" w:ascii="方正仿宋_GBK" w:hAnsi="宋体" w:eastAsia="方正仿宋_GBK" w:cs="宋体"/>
                <w:color w:val="000000"/>
                <w:kern w:val="0"/>
                <w:sz w:val="28"/>
                <w:szCs w:val="28"/>
                <w:lang w:val="en-US" w:eastAsia="zh-CN"/>
              </w:rPr>
              <w:t>5</w:t>
            </w:r>
            <w:r>
              <w:rPr>
                <w:rFonts w:hint="eastAsia" w:ascii="方正仿宋_GBK" w:hAnsi="宋体" w:eastAsia="方正仿宋_GBK" w:cs="宋体"/>
                <w:color w:val="000000"/>
                <w:kern w:val="0"/>
                <w:sz w:val="28"/>
                <w:szCs w:val="28"/>
              </w:rPr>
              <w:t>）</w:t>
            </w:r>
          </w:p>
          <w:p>
            <w:pPr>
              <w:pStyle w:val="2"/>
              <w:ind w:left="840" w:hanging="420"/>
            </w:pPr>
          </w:p>
          <w:p>
            <w:pPr>
              <w:pStyle w:val="3"/>
            </w:pPr>
          </w:p>
        </w:tc>
      </w:tr>
    </w:tbl>
    <w:p>
      <w:pPr>
        <w:pStyle w:val="2"/>
        <w:ind w:left="0" w:leftChars="0" w:firstLine="0" w:firstLineChars="0"/>
      </w:pPr>
    </w:p>
    <w:p>
      <w:pPr>
        <w:pStyle w:val="3"/>
      </w:pPr>
    </w:p>
    <w:p>
      <w:pPr>
        <w:pStyle w:val="2"/>
      </w:pPr>
    </w:p>
    <w:p>
      <w:pPr>
        <w:pStyle w:val="3"/>
      </w:pPr>
    </w:p>
    <w:p>
      <w:pPr>
        <w:pStyle w:val="2"/>
        <w:rPr>
          <w:rFonts w:hint="eastAsia" w:eastAsia="方正小标宋_GBK"/>
          <w:lang w:val="en-US" w:eastAsia="zh-CN"/>
        </w:rPr>
      </w:pPr>
      <w:r>
        <w:rPr>
          <w:rFonts w:hint="eastAsia" w:ascii="方正小标宋_GBK" w:hAnsi="方正小标宋_GBK" w:eastAsia="方正小标宋_GBK" w:cs="方正小标宋_GBK"/>
          <w:b/>
          <w:bCs/>
          <w:color w:val="000000"/>
          <w:kern w:val="0"/>
          <w:sz w:val="32"/>
          <w:szCs w:val="32"/>
        </w:rPr>
        <w:t>附件</w:t>
      </w:r>
      <w:r>
        <w:rPr>
          <w:rFonts w:hint="eastAsia" w:ascii="方正小标宋_GBK" w:hAnsi="方正小标宋_GBK" w:eastAsia="方正小标宋_GBK" w:cs="方正小标宋_GBK"/>
          <w:b/>
          <w:bCs/>
          <w:color w:val="000000"/>
          <w:kern w:val="0"/>
          <w:sz w:val="32"/>
          <w:szCs w:val="32"/>
          <w:lang w:val="en-US" w:eastAsia="zh-CN"/>
        </w:rPr>
        <w:t>3</w:t>
      </w:r>
    </w:p>
    <w:p>
      <w:pPr>
        <w:pStyle w:val="2"/>
        <w:jc w:val="center"/>
        <w:rPr>
          <w:rFonts w:hint="eastAsia" w:ascii="方正小标宋_GBK" w:hAnsi="宋体" w:eastAsia="方正小标宋_GBK" w:cs="宋体"/>
          <w:color w:val="000000"/>
          <w:kern w:val="0"/>
          <w:sz w:val="36"/>
          <w:szCs w:val="36"/>
          <w:lang w:val="en-US" w:eastAsia="zh-CN" w:bidi="ar-SA"/>
        </w:rPr>
      </w:pPr>
      <w:r>
        <w:rPr>
          <w:rFonts w:hint="eastAsia" w:ascii="方正小标宋_GBK" w:hAnsi="宋体" w:eastAsia="方正小标宋_GBK" w:cs="宋体"/>
          <w:color w:val="000000"/>
          <w:kern w:val="0"/>
          <w:sz w:val="36"/>
          <w:szCs w:val="36"/>
          <w:lang w:val="en-US" w:eastAsia="zh-CN" w:bidi="ar-SA"/>
        </w:rPr>
        <w:t>双江自治县住宅用地公告供应量和完成交易量统计情况表</w:t>
      </w:r>
    </w:p>
    <w:p>
      <w:pPr>
        <w:pStyle w:val="2"/>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6"/>
        <w:gridCol w:w="1122"/>
        <w:gridCol w:w="1466"/>
        <w:gridCol w:w="2177"/>
        <w:gridCol w:w="1123"/>
        <w:gridCol w:w="1123"/>
        <w:gridCol w:w="2169"/>
        <w:gridCol w:w="1477"/>
        <w:gridCol w:w="2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方正仿宋_GBK" w:hAnsi="方正仿宋_GBK" w:eastAsia="方正仿宋_GBK" w:cs="方正仿宋_GBK"/>
                <w:i w:val="0"/>
                <w:iCs w:val="0"/>
                <w:color w:val="000000"/>
                <w:sz w:val="32"/>
                <w:szCs w:val="32"/>
                <w:u w:val="none"/>
              </w:rPr>
            </w:pPr>
            <w:r>
              <w:rPr>
                <w:rFonts w:hint="eastAsia" w:ascii="方正仿宋_GBK" w:hAnsi="宋体" w:eastAsia="方正仿宋_GBK" w:cs="宋体"/>
                <w:color w:val="000000"/>
                <w:kern w:val="0"/>
                <w:sz w:val="28"/>
                <w:szCs w:val="28"/>
                <w:lang w:val="en-US" w:eastAsia="zh-CN"/>
              </w:rPr>
              <w:t>填报日期：2024年7月5日                                                      单位：公顷、万元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0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住宅用地公告供应量</w:t>
            </w:r>
          </w:p>
        </w:tc>
        <w:tc>
          <w:tcPr>
            <w:tcW w:w="292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住宅用地完成交易量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月份</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宗数</w:t>
            </w:r>
          </w:p>
        </w:tc>
        <w:tc>
          <w:tcPr>
            <w:tcW w:w="12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面积</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宗数</w:t>
            </w:r>
          </w:p>
        </w:tc>
        <w:tc>
          <w:tcPr>
            <w:tcW w:w="11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面积</w:t>
            </w:r>
          </w:p>
        </w:tc>
        <w:tc>
          <w:tcPr>
            <w:tcW w:w="13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成交价款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宋体" w:eastAsia="方正仿宋_GBK" w:cs="宋体"/>
                <w:color w:val="000000"/>
                <w:kern w:val="0"/>
                <w:sz w:val="28"/>
                <w:szCs w:val="28"/>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宋体" w:eastAsia="方正仿宋_GBK" w:cs="宋体"/>
                <w:color w:val="000000"/>
                <w:kern w:val="0"/>
                <w:sz w:val="28"/>
                <w:szCs w:val="2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面积</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宋体" w:eastAsia="方正仿宋_GBK" w:cs="宋体"/>
                <w:color w:val="000000"/>
                <w:kern w:val="0"/>
                <w:sz w:val="28"/>
                <w:szCs w:val="28"/>
                <w:highlight w:val="yellow"/>
              </w:rPr>
            </w:pPr>
            <w:r>
              <w:rPr>
                <w:rFonts w:hint="eastAsia" w:ascii="方正仿宋_GBK" w:hAnsi="宋体" w:eastAsia="方正仿宋_GBK" w:cs="宋体"/>
                <w:color w:val="000000"/>
                <w:kern w:val="0"/>
                <w:sz w:val="28"/>
                <w:szCs w:val="28"/>
                <w:lang w:val="en-US" w:eastAsia="zh-CN"/>
              </w:rPr>
              <w:t>同比（%）</w:t>
            </w: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宋体" w:eastAsia="方正仿宋_GBK" w:cs="宋体"/>
                <w:color w:val="000000"/>
                <w:kern w:val="0"/>
                <w:sz w:val="28"/>
                <w:szCs w:val="28"/>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面积</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同比（%）</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成交价款</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同比（%）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1月</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宋体" w:eastAsia="方正仿宋_GBK" w:cs="宋体"/>
                <w:color w:val="000000"/>
                <w:kern w:val="0"/>
                <w:sz w:val="28"/>
                <w:szCs w:val="28"/>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2月</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方正仿宋_GBK" w:hAnsi="宋体" w:eastAsia="方正仿宋_GBK" w:cs="宋体"/>
                <w:color w:val="000000"/>
                <w:kern w:val="0"/>
                <w:sz w:val="28"/>
                <w:szCs w:val="28"/>
                <w:lang w:val="en-US"/>
              </w:rPr>
            </w:pPr>
            <w:r>
              <w:rPr>
                <w:rFonts w:hint="eastAsia" w:ascii="方正仿宋_GBK" w:hAnsi="宋体" w:eastAsia="方正仿宋_GBK" w:cs="宋体"/>
                <w:color w:val="000000"/>
                <w:kern w:val="0"/>
                <w:sz w:val="28"/>
                <w:szCs w:val="28"/>
                <w:lang w:val="en-US" w:eastAsia="zh-CN"/>
              </w:rPr>
              <w:t>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宋体" w:eastAsia="方正仿宋_GBK" w:cs="宋体"/>
                <w:color w:val="000000"/>
                <w:kern w:val="0"/>
                <w:sz w:val="28"/>
                <w:szCs w:val="28"/>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3月</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方正仿宋_GBK" w:hAnsi="宋体" w:eastAsia="方正仿宋_GBK" w:cs="宋体"/>
                <w:color w:val="000000"/>
                <w:kern w:val="0"/>
                <w:sz w:val="28"/>
                <w:szCs w:val="28"/>
                <w:lang w:val="en-US"/>
              </w:rPr>
            </w:pPr>
            <w:r>
              <w:rPr>
                <w:rFonts w:hint="eastAsia" w:ascii="方正仿宋_GBK" w:hAnsi="宋体" w:eastAsia="方正仿宋_GBK" w:cs="宋体"/>
                <w:color w:val="000000"/>
                <w:kern w:val="0"/>
                <w:sz w:val="28"/>
                <w:szCs w:val="28"/>
                <w:lang w:val="en-US" w:eastAsia="zh-CN"/>
              </w:rPr>
              <w:t>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方正仿宋_GBK" w:hAnsi="宋体" w:eastAsia="方正仿宋_GBK" w:cs="宋体"/>
                <w:color w:val="000000"/>
                <w:kern w:val="0"/>
                <w:sz w:val="28"/>
                <w:szCs w:val="28"/>
                <w:highlight w:val="yellow"/>
                <w:lang w:val="en-US" w:eastAsia="zh-CN"/>
              </w:rPr>
            </w:pPr>
            <w:r>
              <w:rPr>
                <w:rFonts w:hint="eastAsia" w:ascii="方正仿宋_GBK" w:hAnsi="宋体" w:eastAsia="方正仿宋_GBK" w:cs="宋体"/>
                <w:color w:val="000000"/>
                <w:kern w:val="0"/>
                <w:sz w:val="28"/>
                <w:szCs w:val="28"/>
                <w:lang w:val="en-US" w:eastAsia="zh-CN"/>
              </w:rPr>
              <w:t>0</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宋体" w:eastAsia="方正仿宋_GBK" w:cs="宋体"/>
                <w:color w:val="000000"/>
                <w:kern w:val="0"/>
                <w:sz w:val="28"/>
                <w:szCs w:val="28"/>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4月</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宋体" w:eastAsia="方正仿宋_GBK" w:cs="宋体"/>
                <w:color w:val="000000"/>
                <w:kern w:val="0"/>
                <w:sz w:val="28"/>
                <w:szCs w:val="28"/>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5月</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宋体" w:eastAsia="方正仿宋_GBK" w:cs="宋体"/>
                <w:color w:val="000000"/>
                <w:kern w:val="0"/>
                <w:sz w:val="28"/>
                <w:szCs w:val="28"/>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6月</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宋体" w:eastAsia="方正仿宋_GBK" w:cs="宋体"/>
                <w:color w:val="000000"/>
                <w:kern w:val="0"/>
                <w:sz w:val="28"/>
                <w:szCs w:val="28"/>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合计</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宋体" w:eastAsia="方正仿宋_GBK" w:cs="宋体"/>
                <w:color w:val="000000"/>
                <w:kern w:val="0"/>
                <w:sz w:val="28"/>
                <w:szCs w:val="2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宋体" w:eastAsia="方正仿宋_GBK" w:cs="宋体"/>
                <w:color w:val="000000"/>
                <w:kern w:val="0"/>
                <w:sz w:val="28"/>
                <w:szCs w:val="28"/>
                <w:highlight w:val="yellow"/>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宋体" w:eastAsia="方正仿宋_GBK" w:cs="宋体"/>
                <w:color w:val="000000"/>
                <w:kern w:val="0"/>
                <w:sz w:val="28"/>
                <w:szCs w:val="28"/>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宋体" w:eastAsia="方正仿宋_GBK" w:cs="宋体"/>
                <w:color w:val="000000"/>
                <w:kern w:val="0"/>
                <w:sz w:val="28"/>
                <w:szCs w:val="28"/>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宋体" w:eastAsia="方正仿宋_GBK" w:cs="宋体"/>
                <w:color w:val="000000"/>
                <w:kern w:val="0"/>
                <w:sz w:val="28"/>
                <w:szCs w:val="28"/>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宋体" w:eastAsia="方正仿宋_GBK" w:cs="宋体"/>
                <w:color w:val="000000"/>
                <w:kern w:val="0"/>
                <w:sz w:val="28"/>
                <w:szCs w:val="28"/>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填表说明：1.请各州（市）按月收集汇总，于每季度初的10日内将最新的数据上报省厅开发利用处；</w:t>
            </w:r>
            <w:r>
              <w:rPr>
                <w:rFonts w:hint="eastAsia" w:ascii="方正仿宋_GBK" w:hAnsi="宋体" w:eastAsia="方正仿宋_GBK" w:cs="宋体"/>
                <w:color w:val="000000"/>
                <w:kern w:val="0"/>
                <w:sz w:val="28"/>
                <w:szCs w:val="28"/>
                <w:lang w:val="en-US" w:eastAsia="zh-CN"/>
              </w:rPr>
              <w:br w:type="textWrapping"/>
            </w:r>
            <w:r>
              <w:rPr>
                <w:rFonts w:hint="eastAsia" w:ascii="方正仿宋_GBK" w:hAnsi="宋体" w:eastAsia="方正仿宋_GBK" w:cs="宋体"/>
                <w:color w:val="000000"/>
                <w:kern w:val="0"/>
                <w:sz w:val="28"/>
                <w:szCs w:val="28"/>
                <w:lang w:val="en-US" w:eastAsia="zh-CN"/>
              </w:rPr>
              <w:t xml:space="preserve">          2.各月份数据请勿累加。</w:t>
            </w:r>
          </w:p>
        </w:tc>
      </w:tr>
    </w:tbl>
    <w:p>
      <w:pPr>
        <w:widowControl/>
        <w:jc w:val="left"/>
        <w:rPr>
          <w:rFonts w:ascii="方正仿宋_GBK" w:hAnsi="宋体" w:eastAsia="方正仿宋_GBK" w:cs="宋体"/>
          <w:color w:val="000000"/>
          <w:kern w:val="0"/>
          <w:sz w:val="28"/>
          <w:szCs w:val="28"/>
        </w:rPr>
        <w:sectPr>
          <w:headerReference r:id="rId5" w:type="default"/>
          <w:footerReference r:id="rId6" w:type="default"/>
          <w:pgSz w:w="16838" w:h="11906" w:orient="landscape"/>
          <w:pgMar w:top="567" w:right="1440" w:bottom="0" w:left="1440" w:header="851" w:footer="992" w:gutter="0"/>
          <w:pgNumType w:fmt="numberInDash"/>
          <w:cols w:space="0" w:num="1"/>
          <w:rtlGutter w:val="0"/>
          <w:docGrid w:linePitch="312" w:charSpace="0"/>
        </w:sectPr>
      </w:pPr>
    </w:p>
    <w:p>
      <w:pPr>
        <w:jc w:val="center"/>
        <w:rPr>
          <w:rFonts w:hint="eastAsia" w:eastAsiaTheme="minorEastAsia"/>
          <w:lang w:eastAsia="zh-CN"/>
        </w:rPr>
        <w:sectPr>
          <w:footerReference r:id="rId7" w:type="default"/>
          <w:footerReference r:id="rId8" w:type="even"/>
          <w:pgSz w:w="16838" w:h="11906" w:orient="landscape"/>
          <w:pgMar w:top="1800" w:right="1440" w:bottom="1800" w:left="1440" w:header="851" w:footer="992" w:gutter="0"/>
          <w:pgNumType w:fmt="numberInDash"/>
          <w:cols w:space="720" w:num="1"/>
          <w:docGrid w:type="lines" w:linePitch="312" w:charSpace="0"/>
        </w:sectPr>
      </w:pPr>
      <w:bookmarkStart w:id="0" w:name="_MON_1678170432"/>
      <w:bookmarkEnd w:id="0"/>
      <w:r>
        <w:rPr>
          <w:rFonts w:hint="eastAsia" w:eastAsiaTheme="minorEastAsia"/>
          <w:lang w:eastAsia="zh-CN"/>
        </w:rPr>
        <w:drawing>
          <wp:inline distT="0" distB="0" distL="114300" distR="114300">
            <wp:extent cx="7332980" cy="5190490"/>
            <wp:effectExtent l="0" t="0" r="1270" b="10160"/>
            <wp:docPr id="1" name="图片 1" descr="6af07abeeda532267095f19468d4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af07abeeda532267095f19468d4249"/>
                    <pic:cNvPicPr>
                      <a:picLocks noChangeAspect="1"/>
                    </pic:cNvPicPr>
                  </pic:nvPicPr>
                  <pic:blipFill>
                    <a:blip r:embed="rId10"/>
                    <a:stretch>
                      <a:fillRect/>
                    </a:stretch>
                  </pic:blipFill>
                  <pic:spPr>
                    <a:xfrm>
                      <a:off x="0" y="0"/>
                      <a:ext cx="7332980" cy="5190490"/>
                    </a:xfrm>
                    <a:prstGeom prst="rect">
                      <a:avLst/>
                    </a:prstGeom>
                  </pic:spPr>
                </pic:pic>
              </a:graphicData>
            </a:graphic>
          </wp:inline>
        </w:drawing>
      </w:r>
    </w:p>
    <w:p>
      <w:pPr>
        <w:pStyle w:val="3"/>
        <w:jc w:val="both"/>
      </w:pPr>
    </w:p>
    <w:sectPr>
      <w:pgSz w:w="11906" w:h="16838"/>
      <w:pgMar w:top="1440" w:right="1797" w:bottom="1440" w:left="1797"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roma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Style w:val="12"/>
                  </w:rPr>
                </w:pPr>
                <w:r>
                  <w:fldChar w:fldCharType="begin"/>
                </w:r>
                <w:r>
                  <w:rPr>
                    <w:rStyle w:val="12"/>
                  </w:rPr>
                  <w:instrText xml:space="preserve">PAGE  </w:instrText>
                </w:r>
                <w:r>
                  <w:fldChar w:fldCharType="separate"/>
                </w:r>
                <w:r>
                  <w:rPr>
                    <w:rStyle w:val="12"/>
                  </w:rPr>
                  <w:t>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sz w:val="28"/>
        <w:szCs w:val="28"/>
      </w:rPr>
    </w:pPr>
    <w:r>
      <w:rPr>
        <w:sz w:val="28"/>
        <w:szCs w:val="28"/>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rPr>
                    <w:rStyle w:val="12"/>
                    <w:rFonts w:hint="eastAsia" w:ascii="仿宋" w:hAnsi="仿宋" w:eastAsia="仿宋" w:cs="仿宋"/>
                    <w:sz w:val="28"/>
                    <w:szCs w:val="28"/>
                  </w:rPr>
                </w:pPr>
                <w:r>
                  <w:rPr>
                    <w:rFonts w:hint="eastAsia" w:ascii="仿宋" w:hAnsi="仿宋" w:eastAsia="仿宋" w:cs="仿宋"/>
                    <w:sz w:val="28"/>
                    <w:szCs w:val="28"/>
                  </w:rPr>
                  <w:fldChar w:fldCharType="begin"/>
                </w:r>
                <w:r>
                  <w:rPr>
                    <w:rStyle w:val="12"/>
                    <w:rFonts w:hint="eastAsia" w:ascii="仿宋" w:hAnsi="仿宋" w:eastAsia="仿宋" w:cs="仿宋"/>
                    <w:sz w:val="28"/>
                    <w:szCs w:val="28"/>
                  </w:rPr>
                  <w:instrText xml:space="preserve">PAGE  </w:instrText>
                </w:r>
                <w:r>
                  <w:rPr>
                    <w:rFonts w:hint="eastAsia" w:ascii="仿宋" w:hAnsi="仿宋" w:eastAsia="仿宋" w:cs="仿宋"/>
                    <w:sz w:val="28"/>
                    <w:szCs w:val="28"/>
                  </w:rPr>
                  <w:fldChar w:fldCharType="separate"/>
                </w:r>
                <w:r>
                  <w:rPr>
                    <w:rStyle w:val="12"/>
                    <w:rFonts w:hint="eastAsia" w:ascii="仿宋" w:hAnsi="仿宋" w:eastAsia="仿宋" w:cs="仿宋"/>
                    <w:sz w:val="28"/>
                    <w:szCs w:val="28"/>
                  </w:rPr>
                  <w:t>4</w:t>
                </w:r>
                <w:r>
                  <w:rPr>
                    <w:rFonts w:hint="eastAsia" w:ascii="仿宋" w:hAnsi="仿宋" w:eastAsia="仿宋" w:cs="仿宋"/>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w:pict>
        <v:shape id="_x0000_s4099" o:spid="_x0000_s4099"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6"/>
                  <w:rPr>
                    <w:rStyle w:val="12"/>
                  </w:rPr>
                </w:pPr>
                <w:r>
                  <w:fldChar w:fldCharType="begin"/>
                </w:r>
                <w:r>
                  <w:rPr>
                    <w:rStyle w:val="12"/>
                  </w:rPr>
                  <w:instrText xml:space="preserve">PAGE  </w:instrText>
                </w:r>
                <w:r>
                  <w:fldChar w:fldCharType="separate"/>
                </w:r>
                <w:r>
                  <w:rPr>
                    <w:rStyle w:val="12"/>
                  </w:rPr>
                  <w:t>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hint="default" w:eastAsiaTheme="minorEastAsia"/>
        <w:sz w:val="30"/>
        <w:szCs w:val="30"/>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UyNDA4MGE1NWEwZWQ1ODk3NzM4NWY1MmJjNjQ5MTgifQ=="/>
  </w:docVars>
  <w:rsids>
    <w:rsidRoot w:val="626530A2"/>
    <w:rsid w:val="00025DEA"/>
    <w:rsid w:val="000514A5"/>
    <w:rsid w:val="000B127D"/>
    <w:rsid w:val="000B351F"/>
    <w:rsid w:val="000D0AE0"/>
    <w:rsid w:val="00104C68"/>
    <w:rsid w:val="00116F67"/>
    <w:rsid w:val="001615A8"/>
    <w:rsid w:val="001B6FA2"/>
    <w:rsid w:val="00214FC7"/>
    <w:rsid w:val="002165F2"/>
    <w:rsid w:val="00244E0D"/>
    <w:rsid w:val="00262547"/>
    <w:rsid w:val="002731A9"/>
    <w:rsid w:val="0027428B"/>
    <w:rsid w:val="00297CFB"/>
    <w:rsid w:val="003148A5"/>
    <w:rsid w:val="003169A1"/>
    <w:rsid w:val="00372FC3"/>
    <w:rsid w:val="00393290"/>
    <w:rsid w:val="003C1148"/>
    <w:rsid w:val="00461CDD"/>
    <w:rsid w:val="004A4640"/>
    <w:rsid w:val="004A5E6F"/>
    <w:rsid w:val="004E2BE5"/>
    <w:rsid w:val="00543D6B"/>
    <w:rsid w:val="00574A35"/>
    <w:rsid w:val="005B1E81"/>
    <w:rsid w:val="005D54A6"/>
    <w:rsid w:val="005E683A"/>
    <w:rsid w:val="00610095"/>
    <w:rsid w:val="0062321C"/>
    <w:rsid w:val="00637AAF"/>
    <w:rsid w:val="00650134"/>
    <w:rsid w:val="00676438"/>
    <w:rsid w:val="006776A4"/>
    <w:rsid w:val="006B4F52"/>
    <w:rsid w:val="006E133B"/>
    <w:rsid w:val="00743C03"/>
    <w:rsid w:val="00755BC0"/>
    <w:rsid w:val="00772223"/>
    <w:rsid w:val="00773B5B"/>
    <w:rsid w:val="007A0416"/>
    <w:rsid w:val="007A2FE9"/>
    <w:rsid w:val="007A686F"/>
    <w:rsid w:val="007A764D"/>
    <w:rsid w:val="007B59A8"/>
    <w:rsid w:val="007D7490"/>
    <w:rsid w:val="007F14FC"/>
    <w:rsid w:val="007F17DD"/>
    <w:rsid w:val="00812374"/>
    <w:rsid w:val="00814F26"/>
    <w:rsid w:val="00816B47"/>
    <w:rsid w:val="00834539"/>
    <w:rsid w:val="00847CD6"/>
    <w:rsid w:val="00847F66"/>
    <w:rsid w:val="00862C7D"/>
    <w:rsid w:val="00870B5C"/>
    <w:rsid w:val="008B0013"/>
    <w:rsid w:val="008C4A3E"/>
    <w:rsid w:val="008D521A"/>
    <w:rsid w:val="008E0F4C"/>
    <w:rsid w:val="008E66F3"/>
    <w:rsid w:val="008F7D84"/>
    <w:rsid w:val="009446DC"/>
    <w:rsid w:val="009453C7"/>
    <w:rsid w:val="009543DB"/>
    <w:rsid w:val="009578AA"/>
    <w:rsid w:val="00987FE7"/>
    <w:rsid w:val="009914C4"/>
    <w:rsid w:val="009B447E"/>
    <w:rsid w:val="009C2E4D"/>
    <w:rsid w:val="009F163D"/>
    <w:rsid w:val="009F2764"/>
    <w:rsid w:val="00A05DEA"/>
    <w:rsid w:val="00A15AC1"/>
    <w:rsid w:val="00A33D7B"/>
    <w:rsid w:val="00A62429"/>
    <w:rsid w:val="00A63FAD"/>
    <w:rsid w:val="00AB62D8"/>
    <w:rsid w:val="00AC5BC1"/>
    <w:rsid w:val="00AD44C0"/>
    <w:rsid w:val="00AF7EC7"/>
    <w:rsid w:val="00B34850"/>
    <w:rsid w:val="00B72B6E"/>
    <w:rsid w:val="00B93105"/>
    <w:rsid w:val="00B96D2F"/>
    <w:rsid w:val="00C045F4"/>
    <w:rsid w:val="00C23E2C"/>
    <w:rsid w:val="00C55C93"/>
    <w:rsid w:val="00C86568"/>
    <w:rsid w:val="00CB2C42"/>
    <w:rsid w:val="00CE4DC9"/>
    <w:rsid w:val="00D012E7"/>
    <w:rsid w:val="00D07F62"/>
    <w:rsid w:val="00D14968"/>
    <w:rsid w:val="00D2111D"/>
    <w:rsid w:val="00D352AB"/>
    <w:rsid w:val="00DF3795"/>
    <w:rsid w:val="00DF7CD6"/>
    <w:rsid w:val="00E073FD"/>
    <w:rsid w:val="00E1040B"/>
    <w:rsid w:val="00E23869"/>
    <w:rsid w:val="00E35CEB"/>
    <w:rsid w:val="00EA276F"/>
    <w:rsid w:val="00EB517E"/>
    <w:rsid w:val="00EE4598"/>
    <w:rsid w:val="00F3146C"/>
    <w:rsid w:val="00F43865"/>
    <w:rsid w:val="00F94632"/>
    <w:rsid w:val="00F971B9"/>
    <w:rsid w:val="00FB1E5E"/>
    <w:rsid w:val="00FC4185"/>
    <w:rsid w:val="010817F8"/>
    <w:rsid w:val="010D4629"/>
    <w:rsid w:val="01307A78"/>
    <w:rsid w:val="014E3039"/>
    <w:rsid w:val="015901FB"/>
    <w:rsid w:val="01A7607D"/>
    <w:rsid w:val="01C90507"/>
    <w:rsid w:val="01CD7DC0"/>
    <w:rsid w:val="01FF013A"/>
    <w:rsid w:val="02140A69"/>
    <w:rsid w:val="02406D15"/>
    <w:rsid w:val="02D6713C"/>
    <w:rsid w:val="030F42DA"/>
    <w:rsid w:val="032513A2"/>
    <w:rsid w:val="03362040"/>
    <w:rsid w:val="036C3FFE"/>
    <w:rsid w:val="03941A1D"/>
    <w:rsid w:val="03F01C25"/>
    <w:rsid w:val="042F2445"/>
    <w:rsid w:val="044B51E1"/>
    <w:rsid w:val="045107EA"/>
    <w:rsid w:val="04550691"/>
    <w:rsid w:val="04712A60"/>
    <w:rsid w:val="047976D1"/>
    <w:rsid w:val="04BF45A4"/>
    <w:rsid w:val="04E6001E"/>
    <w:rsid w:val="0512268B"/>
    <w:rsid w:val="05424B04"/>
    <w:rsid w:val="05EE788F"/>
    <w:rsid w:val="06B90FAE"/>
    <w:rsid w:val="06D25734"/>
    <w:rsid w:val="06DE324C"/>
    <w:rsid w:val="072C3D9D"/>
    <w:rsid w:val="076337C9"/>
    <w:rsid w:val="07640832"/>
    <w:rsid w:val="077D6C58"/>
    <w:rsid w:val="07C52789"/>
    <w:rsid w:val="07C90A1C"/>
    <w:rsid w:val="086E2357"/>
    <w:rsid w:val="08835B87"/>
    <w:rsid w:val="08CD4FFF"/>
    <w:rsid w:val="090D73CE"/>
    <w:rsid w:val="09E060A0"/>
    <w:rsid w:val="0B055147"/>
    <w:rsid w:val="0B164861"/>
    <w:rsid w:val="0B3F5149"/>
    <w:rsid w:val="0C1E77B3"/>
    <w:rsid w:val="0C241C62"/>
    <w:rsid w:val="0C566BF1"/>
    <w:rsid w:val="0C7D4563"/>
    <w:rsid w:val="0D3126FA"/>
    <w:rsid w:val="0D7E79D3"/>
    <w:rsid w:val="0DB3567A"/>
    <w:rsid w:val="0DB72697"/>
    <w:rsid w:val="0E7560FE"/>
    <w:rsid w:val="0E8E3B80"/>
    <w:rsid w:val="0EFA2360"/>
    <w:rsid w:val="0F9D7036"/>
    <w:rsid w:val="0F9E6180"/>
    <w:rsid w:val="0FD27BFB"/>
    <w:rsid w:val="0FE652FB"/>
    <w:rsid w:val="100B4D2B"/>
    <w:rsid w:val="10C56AE8"/>
    <w:rsid w:val="10D74FD9"/>
    <w:rsid w:val="10E54BAA"/>
    <w:rsid w:val="110F5D02"/>
    <w:rsid w:val="11295BBE"/>
    <w:rsid w:val="1159307A"/>
    <w:rsid w:val="11DD437B"/>
    <w:rsid w:val="11E51085"/>
    <w:rsid w:val="121267B7"/>
    <w:rsid w:val="126313C6"/>
    <w:rsid w:val="12667ACB"/>
    <w:rsid w:val="129C4E7D"/>
    <w:rsid w:val="13096E69"/>
    <w:rsid w:val="13531E3A"/>
    <w:rsid w:val="1394118C"/>
    <w:rsid w:val="13952A1D"/>
    <w:rsid w:val="13DC0B34"/>
    <w:rsid w:val="147D0C9C"/>
    <w:rsid w:val="14F926DD"/>
    <w:rsid w:val="159214A8"/>
    <w:rsid w:val="160D5323"/>
    <w:rsid w:val="162C21FE"/>
    <w:rsid w:val="16940CAA"/>
    <w:rsid w:val="16C03C31"/>
    <w:rsid w:val="1710341C"/>
    <w:rsid w:val="17404949"/>
    <w:rsid w:val="17A3178F"/>
    <w:rsid w:val="17BA5BF9"/>
    <w:rsid w:val="1823585B"/>
    <w:rsid w:val="18650490"/>
    <w:rsid w:val="18704E4A"/>
    <w:rsid w:val="18DB1134"/>
    <w:rsid w:val="191B24CF"/>
    <w:rsid w:val="19B80794"/>
    <w:rsid w:val="1A0A3CD2"/>
    <w:rsid w:val="1A0F7782"/>
    <w:rsid w:val="1A303D79"/>
    <w:rsid w:val="1A6B4F60"/>
    <w:rsid w:val="1A846E32"/>
    <w:rsid w:val="1A8E555B"/>
    <w:rsid w:val="1AE44751"/>
    <w:rsid w:val="1B8A3947"/>
    <w:rsid w:val="1B91414F"/>
    <w:rsid w:val="1B9D2F0F"/>
    <w:rsid w:val="1BCB2813"/>
    <w:rsid w:val="1BD545C9"/>
    <w:rsid w:val="1C611C2E"/>
    <w:rsid w:val="1CB41032"/>
    <w:rsid w:val="1CE215DF"/>
    <w:rsid w:val="1CE27764"/>
    <w:rsid w:val="1D230F80"/>
    <w:rsid w:val="1D7411A0"/>
    <w:rsid w:val="1DC449C1"/>
    <w:rsid w:val="1DC77B35"/>
    <w:rsid w:val="1DE30FD0"/>
    <w:rsid w:val="1E5C0A0B"/>
    <w:rsid w:val="1E9346BF"/>
    <w:rsid w:val="1EFE5195"/>
    <w:rsid w:val="1F200C15"/>
    <w:rsid w:val="1FA468E2"/>
    <w:rsid w:val="1FB15D26"/>
    <w:rsid w:val="201E143D"/>
    <w:rsid w:val="20A156DA"/>
    <w:rsid w:val="21194AB3"/>
    <w:rsid w:val="21387C1F"/>
    <w:rsid w:val="214B3673"/>
    <w:rsid w:val="216837A5"/>
    <w:rsid w:val="218E061A"/>
    <w:rsid w:val="21B05E66"/>
    <w:rsid w:val="221A6B66"/>
    <w:rsid w:val="22D16200"/>
    <w:rsid w:val="235B2F3E"/>
    <w:rsid w:val="23841257"/>
    <w:rsid w:val="23EE3408"/>
    <w:rsid w:val="241A5822"/>
    <w:rsid w:val="245262D8"/>
    <w:rsid w:val="24534640"/>
    <w:rsid w:val="24936132"/>
    <w:rsid w:val="24B10241"/>
    <w:rsid w:val="24B111A1"/>
    <w:rsid w:val="2536424E"/>
    <w:rsid w:val="25710C42"/>
    <w:rsid w:val="25C830B4"/>
    <w:rsid w:val="25D8470B"/>
    <w:rsid w:val="26257496"/>
    <w:rsid w:val="269C3430"/>
    <w:rsid w:val="27445337"/>
    <w:rsid w:val="277E47DA"/>
    <w:rsid w:val="289A61C8"/>
    <w:rsid w:val="28E476A8"/>
    <w:rsid w:val="28F824E8"/>
    <w:rsid w:val="29191FA9"/>
    <w:rsid w:val="29407ED1"/>
    <w:rsid w:val="295B4C7D"/>
    <w:rsid w:val="29BF4FC3"/>
    <w:rsid w:val="29DB1944"/>
    <w:rsid w:val="29E174C3"/>
    <w:rsid w:val="2A1E63DE"/>
    <w:rsid w:val="2A223470"/>
    <w:rsid w:val="2A3F24C1"/>
    <w:rsid w:val="2B0A1735"/>
    <w:rsid w:val="2B677ABB"/>
    <w:rsid w:val="2B7E7460"/>
    <w:rsid w:val="2B8307F0"/>
    <w:rsid w:val="2BD25CD7"/>
    <w:rsid w:val="2C0C346E"/>
    <w:rsid w:val="2C614E03"/>
    <w:rsid w:val="2C6837DC"/>
    <w:rsid w:val="2C7F745C"/>
    <w:rsid w:val="2CE52635"/>
    <w:rsid w:val="2CFE78A6"/>
    <w:rsid w:val="2D58472A"/>
    <w:rsid w:val="2DA35E0E"/>
    <w:rsid w:val="2DAC50FB"/>
    <w:rsid w:val="2E063E6C"/>
    <w:rsid w:val="2E3B1929"/>
    <w:rsid w:val="2E637714"/>
    <w:rsid w:val="2E9B209E"/>
    <w:rsid w:val="2EA72C7D"/>
    <w:rsid w:val="2EA93887"/>
    <w:rsid w:val="2F006586"/>
    <w:rsid w:val="2F1864DC"/>
    <w:rsid w:val="2F347E53"/>
    <w:rsid w:val="2F512CCE"/>
    <w:rsid w:val="2FCB0919"/>
    <w:rsid w:val="2FD53A35"/>
    <w:rsid w:val="300F091B"/>
    <w:rsid w:val="30483227"/>
    <w:rsid w:val="30996244"/>
    <w:rsid w:val="30CB6047"/>
    <w:rsid w:val="31156D43"/>
    <w:rsid w:val="316C5D44"/>
    <w:rsid w:val="318502AA"/>
    <w:rsid w:val="31D600F9"/>
    <w:rsid w:val="31F6139A"/>
    <w:rsid w:val="328476AF"/>
    <w:rsid w:val="32C61156"/>
    <w:rsid w:val="33901A0A"/>
    <w:rsid w:val="33A86B90"/>
    <w:rsid w:val="33C46A54"/>
    <w:rsid w:val="344C12D2"/>
    <w:rsid w:val="34B04AB4"/>
    <w:rsid w:val="34CA24D1"/>
    <w:rsid w:val="3549184A"/>
    <w:rsid w:val="35CB167E"/>
    <w:rsid w:val="35ED06AF"/>
    <w:rsid w:val="373C32DA"/>
    <w:rsid w:val="37404A73"/>
    <w:rsid w:val="37536E2D"/>
    <w:rsid w:val="37822E51"/>
    <w:rsid w:val="37C31203"/>
    <w:rsid w:val="3868273E"/>
    <w:rsid w:val="388D2366"/>
    <w:rsid w:val="388F7913"/>
    <w:rsid w:val="39B4766B"/>
    <w:rsid w:val="3A027365"/>
    <w:rsid w:val="3A174905"/>
    <w:rsid w:val="3A24541C"/>
    <w:rsid w:val="3AA34669"/>
    <w:rsid w:val="3B981D57"/>
    <w:rsid w:val="3BA95E24"/>
    <w:rsid w:val="3C012591"/>
    <w:rsid w:val="3CFD2A0A"/>
    <w:rsid w:val="3D842AAF"/>
    <w:rsid w:val="3D8917CD"/>
    <w:rsid w:val="3DBF529B"/>
    <w:rsid w:val="3DC44DD7"/>
    <w:rsid w:val="3DD046AA"/>
    <w:rsid w:val="3DD1756B"/>
    <w:rsid w:val="3DF165B6"/>
    <w:rsid w:val="3E2C249C"/>
    <w:rsid w:val="3E6D15A3"/>
    <w:rsid w:val="3E765FE8"/>
    <w:rsid w:val="3E957D3A"/>
    <w:rsid w:val="3F14342A"/>
    <w:rsid w:val="3F523450"/>
    <w:rsid w:val="3F6F20D2"/>
    <w:rsid w:val="3F923E44"/>
    <w:rsid w:val="401900AB"/>
    <w:rsid w:val="405F3FFE"/>
    <w:rsid w:val="40765A4E"/>
    <w:rsid w:val="40C81267"/>
    <w:rsid w:val="40FC75A3"/>
    <w:rsid w:val="410E4A82"/>
    <w:rsid w:val="412F5F85"/>
    <w:rsid w:val="416C748B"/>
    <w:rsid w:val="41865986"/>
    <w:rsid w:val="418D1FB6"/>
    <w:rsid w:val="428174C5"/>
    <w:rsid w:val="429F3EDE"/>
    <w:rsid w:val="42AF0810"/>
    <w:rsid w:val="43010F82"/>
    <w:rsid w:val="432B62F8"/>
    <w:rsid w:val="43E45EE4"/>
    <w:rsid w:val="44476F4C"/>
    <w:rsid w:val="447B42A9"/>
    <w:rsid w:val="44FF4830"/>
    <w:rsid w:val="4554555D"/>
    <w:rsid w:val="4570696F"/>
    <w:rsid w:val="45B60689"/>
    <w:rsid w:val="45BB48BA"/>
    <w:rsid w:val="46055011"/>
    <w:rsid w:val="460F2144"/>
    <w:rsid w:val="46610C26"/>
    <w:rsid w:val="46776F79"/>
    <w:rsid w:val="468A399A"/>
    <w:rsid w:val="46D1440B"/>
    <w:rsid w:val="46D63D94"/>
    <w:rsid w:val="46EB6FD3"/>
    <w:rsid w:val="47C271B8"/>
    <w:rsid w:val="47D27102"/>
    <w:rsid w:val="480E6867"/>
    <w:rsid w:val="482B7337"/>
    <w:rsid w:val="494E4C89"/>
    <w:rsid w:val="49772BAF"/>
    <w:rsid w:val="49FF0934"/>
    <w:rsid w:val="4AC556E4"/>
    <w:rsid w:val="4ADA2086"/>
    <w:rsid w:val="4AE11B48"/>
    <w:rsid w:val="4AEF4C07"/>
    <w:rsid w:val="4B5A0715"/>
    <w:rsid w:val="4B6C2C58"/>
    <w:rsid w:val="4BDD6610"/>
    <w:rsid w:val="4C10657F"/>
    <w:rsid w:val="4C35453C"/>
    <w:rsid w:val="4C4E134C"/>
    <w:rsid w:val="4C65004C"/>
    <w:rsid w:val="4D04725C"/>
    <w:rsid w:val="4D583E81"/>
    <w:rsid w:val="4DAE4131"/>
    <w:rsid w:val="4DE248A2"/>
    <w:rsid w:val="4DE660C4"/>
    <w:rsid w:val="4E163CCD"/>
    <w:rsid w:val="4E66522C"/>
    <w:rsid w:val="4E6F4558"/>
    <w:rsid w:val="4EF56F9B"/>
    <w:rsid w:val="4F087582"/>
    <w:rsid w:val="4F6A6E0C"/>
    <w:rsid w:val="4FF43C08"/>
    <w:rsid w:val="50F947FC"/>
    <w:rsid w:val="51075171"/>
    <w:rsid w:val="51CF0902"/>
    <w:rsid w:val="52C52021"/>
    <w:rsid w:val="52D0441E"/>
    <w:rsid w:val="52E92194"/>
    <w:rsid w:val="52FF634D"/>
    <w:rsid w:val="53740BBC"/>
    <w:rsid w:val="53CE2EEA"/>
    <w:rsid w:val="541B2941"/>
    <w:rsid w:val="5471414F"/>
    <w:rsid w:val="54982C85"/>
    <w:rsid w:val="54A5150A"/>
    <w:rsid w:val="54EA1EBD"/>
    <w:rsid w:val="55145E3E"/>
    <w:rsid w:val="554167A4"/>
    <w:rsid w:val="55460C8B"/>
    <w:rsid w:val="554F34EF"/>
    <w:rsid w:val="555C00BD"/>
    <w:rsid w:val="566E60EE"/>
    <w:rsid w:val="56873DDD"/>
    <w:rsid w:val="56B20817"/>
    <w:rsid w:val="56D02772"/>
    <w:rsid w:val="56E02090"/>
    <w:rsid w:val="57206B16"/>
    <w:rsid w:val="57286D64"/>
    <w:rsid w:val="57A666A6"/>
    <w:rsid w:val="57ED310C"/>
    <w:rsid w:val="581A71A6"/>
    <w:rsid w:val="592D6864"/>
    <w:rsid w:val="595B7EF1"/>
    <w:rsid w:val="59637709"/>
    <w:rsid w:val="59657B9E"/>
    <w:rsid w:val="59783115"/>
    <w:rsid w:val="59A53829"/>
    <w:rsid w:val="59BF47BE"/>
    <w:rsid w:val="59C74229"/>
    <w:rsid w:val="59E50903"/>
    <w:rsid w:val="5A160A09"/>
    <w:rsid w:val="5A5C34F3"/>
    <w:rsid w:val="5AED2867"/>
    <w:rsid w:val="5AF1013F"/>
    <w:rsid w:val="5B3613FE"/>
    <w:rsid w:val="5C5761F8"/>
    <w:rsid w:val="5C76752B"/>
    <w:rsid w:val="5CF83782"/>
    <w:rsid w:val="5D8C6310"/>
    <w:rsid w:val="5DA500BB"/>
    <w:rsid w:val="5DD349A8"/>
    <w:rsid w:val="5E135ABD"/>
    <w:rsid w:val="5E457B8F"/>
    <w:rsid w:val="5E6C6C4E"/>
    <w:rsid w:val="5E8B10B4"/>
    <w:rsid w:val="5EC9173D"/>
    <w:rsid w:val="5F4E34B8"/>
    <w:rsid w:val="5F4F12D0"/>
    <w:rsid w:val="5FB4090B"/>
    <w:rsid w:val="5FC9398D"/>
    <w:rsid w:val="5FDF5132"/>
    <w:rsid w:val="5FF018C7"/>
    <w:rsid w:val="60B404AA"/>
    <w:rsid w:val="60FC5795"/>
    <w:rsid w:val="612664C7"/>
    <w:rsid w:val="61497FE8"/>
    <w:rsid w:val="61571F00"/>
    <w:rsid w:val="626530A2"/>
    <w:rsid w:val="62F13785"/>
    <w:rsid w:val="63691665"/>
    <w:rsid w:val="63C234C3"/>
    <w:rsid w:val="63F15DE0"/>
    <w:rsid w:val="64006A77"/>
    <w:rsid w:val="64316076"/>
    <w:rsid w:val="64321FFD"/>
    <w:rsid w:val="646025D7"/>
    <w:rsid w:val="647C713D"/>
    <w:rsid w:val="65482680"/>
    <w:rsid w:val="65AA1D61"/>
    <w:rsid w:val="65B835F3"/>
    <w:rsid w:val="65D7625B"/>
    <w:rsid w:val="66A158F8"/>
    <w:rsid w:val="66EA13BE"/>
    <w:rsid w:val="67081A1B"/>
    <w:rsid w:val="67EF4E02"/>
    <w:rsid w:val="67F22D44"/>
    <w:rsid w:val="67FA65AF"/>
    <w:rsid w:val="684B2E28"/>
    <w:rsid w:val="686B4A91"/>
    <w:rsid w:val="68A14D79"/>
    <w:rsid w:val="68D433EA"/>
    <w:rsid w:val="69276500"/>
    <w:rsid w:val="693C740B"/>
    <w:rsid w:val="6A220D12"/>
    <w:rsid w:val="6A385540"/>
    <w:rsid w:val="6A433D49"/>
    <w:rsid w:val="6A4E63C9"/>
    <w:rsid w:val="6A6C1833"/>
    <w:rsid w:val="6A730821"/>
    <w:rsid w:val="6ADE25E7"/>
    <w:rsid w:val="6B1B3A1F"/>
    <w:rsid w:val="6B3A2C57"/>
    <w:rsid w:val="6B4D45BD"/>
    <w:rsid w:val="6B937AF4"/>
    <w:rsid w:val="6BCD3862"/>
    <w:rsid w:val="6BD944B9"/>
    <w:rsid w:val="6C042C19"/>
    <w:rsid w:val="6C2C6C77"/>
    <w:rsid w:val="6D160AA1"/>
    <w:rsid w:val="6D6158A5"/>
    <w:rsid w:val="6D6F51F5"/>
    <w:rsid w:val="6DE42D28"/>
    <w:rsid w:val="6E5F51EB"/>
    <w:rsid w:val="6ED36F6D"/>
    <w:rsid w:val="6ED4135A"/>
    <w:rsid w:val="6F381FC1"/>
    <w:rsid w:val="6F4F2459"/>
    <w:rsid w:val="6FB81C6F"/>
    <w:rsid w:val="6FC61D8C"/>
    <w:rsid w:val="6FD55AAE"/>
    <w:rsid w:val="6FF3484E"/>
    <w:rsid w:val="70867E52"/>
    <w:rsid w:val="70CD2FF0"/>
    <w:rsid w:val="71162DC7"/>
    <w:rsid w:val="711B3B45"/>
    <w:rsid w:val="718C2D2D"/>
    <w:rsid w:val="71BE47D3"/>
    <w:rsid w:val="71C07068"/>
    <w:rsid w:val="71C92E46"/>
    <w:rsid w:val="725D4104"/>
    <w:rsid w:val="737C29A9"/>
    <w:rsid w:val="7384079C"/>
    <w:rsid w:val="73D8449A"/>
    <w:rsid w:val="74122BCA"/>
    <w:rsid w:val="74344796"/>
    <w:rsid w:val="743608D9"/>
    <w:rsid w:val="744C735C"/>
    <w:rsid w:val="744D3D1C"/>
    <w:rsid w:val="748210E6"/>
    <w:rsid w:val="74EA01CA"/>
    <w:rsid w:val="7603562E"/>
    <w:rsid w:val="76140845"/>
    <w:rsid w:val="761D4CAB"/>
    <w:rsid w:val="767700AE"/>
    <w:rsid w:val="769F401E"/>
    <w:rsid w:val="77966C42"/>
    <w:rsid w:val="782D3AAE"/>
    <w:rsid w:val="784D1D22"/>
    <w:rsid w:val="787433CB"/>
    <w:rsid w:val="78CA1F55"/>
    <w:rsid w:val="79255D98"/>
    <w:rsid w:val="79473247"/>
    <w:rsid w:val="799F7A17"/>
    <w:rsid w:val="79B90869"/>
    <w:rsid w:val="7A444613"/>
    <w:rsid w:val="7A4F4E30"/>
    <w:rsid w:val="7AC61CD4"/>
    <w:rsid w:val="7AFC2CE1"/>
    <w:rsid w:val="7BD9446E"/>
    <w:rsid w:val="7C97476E"/>
    <w:rsid w:val="7CAA2C56"/>
    <w:rsid w:val="7CE34A41"/>
    <w:rsid w:val="7D0E519D"/>
    <w:rsid w:val="7D1670C9"/>
    <w:rsid w:val="7E59401B"/>
    <w:rsid w:val="7E80783F"/>
    <w:rsid w:val="7F2810B6"/>
    <w:rsid w:val="7F340A16"/>
    <w:rsid w:val="7F437149"/>
    <w:rsid w:val="7FAF7463"/>
    <w:rsid w:val="7FC00C6E"/>
    <w:rsid w:val="7FFF4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autoRedefine/>
    <w:unhideWhenUsed/>
    <w:qFormat/>
    <w:uiPriority w:val="0"/>
    <w:pPr>
      <w:keepNext/>
      <w:keepLines/>
      <w:spacing w:line="560" w:lineRule="exact"/>
      <w:ind w:firstLine="640"/>
      <w:outlineLvl w:val="1"/>
    </w:pPr>
    <w:rPr>
      <w:rFonts w:ascii="Times New Roman" w:hAnsi="Times New Roman" w:eastAsia="黑体" w:cs="Times New Roman"/>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图表目录1"/>
    <w:basedOn w:val="3"/>
    <w:next w:val="3"/>
    <w:autoRedefine/>
    <w:qFormat/>
    <w:uiPriority w:val="0"/>
    <w:pPr>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autoRedefine/>
    <w:qFormat/>
    <w:uiPriority w:val="0"/>
    <w:pPr>
      <w:widowControl w:val="0"/>
      <w:jc w:val="both"/>
    </w:pPr>
    <w:rPr>
      <w:rFonts w:ascii="Calibri" w:hAnsi="Calibri" w:eastAsia="宋体" w:cs="黑体"/>
      <w:kern w:val="2"/>
      <w:sz w:val="21"/>
      <w:szCs w:val="24"/>
      <w:lang w:val="en-US" w:eastAsia="zh-CN" w:bidi="ar-SA"/>
    </w:rPr>
  </w:style>
  <w:style w:type="paragraph" w:styleId="5">
    <w:name w:val="Balloon Text"/>
    <w:basedOn w:val="1"/>
    <w:link w:val="16"/>
    <w:autoRedefine/>
    <w:qFormat/>
    <w:uiPriority w:val="0"/>
    <w:rPr>
      <w:sz w:val="18"/>
      <w:szCs w:val="18"/>
    </w:rPr>
  </w:style>
  <w:style w:type="paragraph" w:styleId="6">
    <w:name w:val="footer"/>
    <w:basedOn w:val="1"/>
    <w:link w:val="15"/>
    <w:autoRedefine/>
    <w:qFormat/>
    <w:uiPriority w:val="0"/>
    <w:pPr>
      <w:tabs>
        <w:tab w:val="center" w:pos="4153"/>
        <w:tab w:val="right" w:pos="8306"/>
      </w:tabs>
      <w:snapToGrid w:val="0"/>
      <w:jc w:val="left"/>
    </w:pPr>
    <w:rPr>
      <w:sz w:val="18"/>
      <w:szCs w:val="18"/>
    </w:rPr>
  </w:style>
  <w:style w:type="paragraph" w:styleId="7">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spacing w:before="100" w:beforeAutospacing="1" w:after="100" w:afterAutospacing="1"/>
      <w:jc w:val="left"/>
    </w:pPr>
    <w:rPr>
      <w:rFonts w:ascii="Calibri" w:hAnsi="Calibri" w:eastAsia="宋体"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 w:type="paragraph" w:customStyle="1" w:styleId="13">
    <w:name w:val="常规"/>
    <w:basedOn w:val="1"/>
    <w:autoRedefine/>
    <w:qFormat/>
    <w:uiPriority w:val="0"/>
    <w:pPr>
      <w:widowControl/>
      <w:jc w:val="left"/>
    </w:pPr>
    <w:rPr>
      <w:rFonts w:ascii="Arial" w:hAnsi="Arial" w:eastAsia="宋体" w:cs="Arial"/>
      <w:color w:val="000000"/>
      <w:kern w:val="0"/>
      <w:sz w:val="20"/>
      <w:szCs w:val="20"/>
    </w:rPr>
  </w:style>
  <w:style w:type="character" w:customStyle="1" w:styleId="14">
    <w:name w:val="页眉 Char"/>
    <w:basedOn w:val="11"/>
    <w:link w:val="7"/>
    <w:autoRedefine/>
    <w:qFormat/>
    <w:uiPriority w:val="0"/>
    <w:rPr>
      <w:rFonts w:asciiTheme="minorHAnsi" w:hAnsiTheme="minorHAnsi" w:eastAsiaTheme="minorEastAsia" w:cstheme="minorBidi"/>
      <w:kern w:val="2"/>
      <w:sz w:val="18"/>
      <w:szCs w:val="18"/>
    </w:rPr>
  </w:style>
  <w:style w:type="character" w:customStyle="1" w:styleId="15">
    <w:name w:val="页脚 Char"/>
    <w:basedOn w:val="11"/>
    <w:link w:val="6"/>
    <w:autoRedefine/>
    <w:qFormat/>
    <w:uiPriority w:val="0"/>
    <w:rPr>
      <w:rFonts w:asciiTheme="minorHAnsi" w:hAnsiTheme="minorHAnsi" w:eastAsiaTheme="minorEastAsia" w:cstheme="minorBidi"/>
      <w:kern w:val="2"/>
      <w:sz w:val="18"/>
      <w:szCs w:val="18"/>
    </w:rPr>
  </w:style>
  <w:style w:type="character" w:customStyle="1" w:styleId="16">
    <w:name w:val="批注框文本 Char"/>
    <w:basedOn w:val="11"/>
    <w:link w:val="5"/>
    <w:autoRedefine/>
    <w:qFormat/>
    <w:uiPriority w:val="0"/>
    <w:rPr>
      <w:rFonts w:asciiTheme="minorHAnsi" w:hAnsiTheme="minorHAnsi" w:eastAsiaTheme="minorEastAsia" w:cstheme="minorBidi"/>
      <w:kern w:val="2"/>
      <w:sz w:val="18"/>
      <w:szCs w:val="18"/>
    </w:rPr>
  </w:style>
  <w:style w:type="character" w:customStyle="1" w:styleId="17">
    <w:name w:val="font11"/>
    <w:basedOn w:val="11"/>
    <w:autoRedefine/>
    <w:qFormat/>
    <w:uiPriority w:val="0"/>
    <w:rPr>
      <w:rFonts w:hint="default" w:ascii="方正仿宋_GBK" w:hAnsi="方正仿宋_GBK" w:eastAsia="方正仿宋_GBK" w:cs="方正仿宋_GBK"/>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临沧市双江县党政机关单位</Company>
  <Pages>7</Pages>
  <Words>2086</Words>
  <Characters>2457</Characters>
  <Lines>23</Lines>
  <Paragraphs>6</Paragraphs>
  <TotalTime>507</TotalTime>
  <ScaleCrop>false</ScaleCrop>
  <LinksUpToDate>false</LinksUpToDate>
  <CharactersWithSpaces>2705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2019-06-20T01:12:00Z</dcterms:created>
  <dc:creator>Administrator</dc:creator>
  <cp:lastModifiedBy>王双麟</cp:lastModifiedBy>
  <cp:lastPrinted>2024-04-08T08:34:00Z</cp:lastPrinted>
  <dcterms:modified xsi:type="dcterms:W3CDTF">2024-07-11T01:57:46Z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AC55884944DF45FEB30F8C5665999DF0</vt:lpwstr>
  </property>
  <property fmtid="{D5CDD505-2E9C-101B-9397-08002B2CF9AE}" pid="4" name="KSOSaveFontToCloudKey">
    <vt:lpwstr>277368977_btnclosed</vt:lpwstr>
  </property>
</Properties>
</file>