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671" w:type="dxa"/>
        <w:tblInd w:w="93" w:type="dxa"/>
        <w:tblLayout w:type="fixed"/>
        <w:tblCellMar>
          <w:top w:w="0" w:type="dxa"/>
          <w:left w:w="108" w:type="dxa"/>
          <w:bottom w:w="0" w:type="dxa"/>
          <w:right w:w="108" w:type="dxa"/>
        </w:tblCellMar>
      </w:tblPr>
      <w:tblGrid>
        <w:gridCol w:w="1189"/>
        <w:gridCol w:w="279"/>
        <w:gridCol w:w="982"/>
        <w:gridCol w:w="1"/>
        <w:gridCol w:w="1867"/>
        <w:gridCol w:w="1"/>
        <w:gridCol w:w="1831"/>
        <w:gridCol w:w="1"/>
        <w:gridCol w:w="1224"/>
        <w:gridCol w:w="1"/>
        <w:gridCol w:w="1030"/>
        <w:gridCol w:w="1"/>
        <w:gridCol w:w="2716"/>
        <w:gridCol w:w="1"/>
        <w:gridCol w:w="534"/>
        <w:gridCol w:w="411"/>
        <w:gridCol w:w="1"/>
        <w:gridCol w:w="400"/>
        <w:gridCol w:w="424"/>
        <w:gridCol w:w="1"/>
        <w:gridCol w:w="388"/>
        <w:gridCol w:w="387"/>
        <w:gridCol w:w="1"/>
      </w:tblGrid>
      <w:tr>
        <w:tblPrEx>
          <w:tblCellMar>
            <w:top w:w="0" w:type="dxa"/>
            <w:left w:w="108" w:type="dxa"/>
            <w:bottom w:w="0" w:type="dxa"/>
            <w:right w:w="108" w:type="dxa"/>
          </w:tblCellMar>
        </w:tblPrEx>
        <w:trPr>
          <w:trHeight w:val="312" w:hRule="atLeast"/>
        </w:trPr>
        <w:tc>
          <w:tcPr>
            <w:tcW w:w="13671" w:type="dxa"/>
            <w:gridSpan w:val="23"/>
            <w:vMerge w:val="restart"/>
            <w:tcBorders>
              <w:top w:val="nil"/>
              <w:left w:val="nil"/>
              <w:bottom w:val="nil"/>
              <w:right w:val="nil"/>
            </w:tcBorders>
            <w:shd w:val="clear" w:color="auto" w:fill="auto"/>
            <w:vAlign w:val="center"/>
          </w:tcPr>
          <w:p>
            <w:pPr>
              <w:widowControl/>
              <w:jc w:val="left"/>
              <w:rPr>
                <w:rFonts w:ascii="黑体" w:hAnsi="黑体" w:eastAsia="黑体" w:cs="宋体"/>
                <w:b/>
                <w:bCs/>
                <w:color w:val="000000"/>
                <w:kern w:val="0"/>
                <w:sz w:val="18"/>
                <w:szCs w:val="18"/>
              </w:rPr>
            </w:pPr>
            <w:bookmarkStart w:id="0" w:name="_GoBack"/>
            <w:bookmarkEnd w:id="0"/>
            <w:r>
              <w:rPr>
                <w:rFonts w:hint="eastAsia" w:ascii="黑体" w:hAnsi="黑体" w:eastAsia="黑体" w:cs="宋体"/>
                <w:b/>
                <w:bCs/>
                <w:color w:val="000000"/>
                <w:kern w:val="0"/>
                <w:sz w:val="18"/>
                <w:szCs w:val="18"/>
              </w:rPr>
              <w:t>附件1</w:t>
            </w:r>
          </w:p>
        </w:tc>
      </w:tr>
      <w:tr>
        <w:tblPrEx>
          <w:tblCellMar>
            <w:top w:w="0" w:type="dxa"/>
            <w:left w:w="108" w:type="dxa"/>
            <w:bottom w:w="0" w:type="dxa"/>
            <w:right w:w="108" w:type="dxa"/>
          </w:tblCellMar>
        </w:tblPrEx>
        <w:trPr>
          <w:trHeight w:val="435" w:hRule="atLeast"/>
        </w:trPr>
        <w:tc>
          <w:tcPr>
            <w:tcW w:w="13671" w:type="dxa"/>
            <w:gridSpan w:val="23"/>
            <w:vMerge w:val="continue"/>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r>
      <w:tr>
        <w:tblPrEx>
          <w:tblCellMar>
            <w:top w:w="0" w:type="dxa"/>
            <w:left w:w="108" w:type="dxa"/>
            <w:bottom w:w="0" w:type="dxa"/>
            <w:right w:w="108" w:type="dxa"/>
          </w:tblCellMar>
        </w:tblPrEx>
        <w:trPr>
          <w:trHeight w:val="312" w:hRule="atLeast"/>
        </w:trPr>
        <w:tc>
          <w:tcPr>
            <w:tcW w:w="13671" w:type="dxa"/>
            <w:gridSpan w:val="23"/>
            <w:vMerge w:val="continue"/>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r>
      <w:tr>
        <w:tblPrEx>
          <w:tblCellMar>
            <w:top w:w="0" w:type="dxa"/>
            <w:left w:w="108" w:type="dxa"/>
            <w:bottom w:w="0" w:type="dxa"/>
            <w:right w:w="108" w:type="dxa"/>
          </w:tblCellMar>
        </w:tblPrEx>
        <w:trPr>
          <w:trHeight w:val="705" w:hRule="atLeast"/>
        </w:trPr>
        <w:tc>
          <w:tcPr>
            <w:tcW w:w="13671" w:type="dxa"/>
            <w:gridSpan w:val="23"/>
            <w:tcBorders>
              <w:top w:val="nil"/>
              <w:left w:val="nil"/>
              <w:bottom w:val="single" w:color="000000" w:sz="4" w:space="0"/>
              <w:right w:val="nil"/>
            </w:tcBorders>
            <w:shd w:val="clear" w:color="auto" w:fill="auto"/>
            <w:vAlign w:val="center"/>
          </w:tcPr>
          <w:p>
            <w:pPr>
              <w:widowControl/>
              <w:jc w:val="center"/>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rPr>
              <w:t>勐库镇安全生产领域基层政务公开标准目录</w:t>
            </w:r>
          </w:p>
        </w:tc>
      </w:tr>
      <w:tr>
        <w:tblPrEx>
          <w:tblCellMar>
            <w:top w:w="0" w:type="dxa"/>
            <w:left w:w="108" w:type="dxa"/>
            <w:bottom w:w="0" w:type="dxa"/>
            <w:right w:w="108" w:type="dxa"/>
          </w:tblCellMar>
        </w:tblPrEx>
        <w:trPr>
          <w:gridAfter w:val="1"/>
          <w:wAfter w:w="1" w:type="dxa"/>
          <w:trHeight w:val="390" w:hRule="atLeast"/>
        </w:trPr>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公开事项</w:t>
            </w:r>
          </w:p>
        </w:tc>
        <w:tc>
          <w:tcPr>
            <w:tcW w:w="18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公开内容</w:t>
            </w:r>
          </w:p>
        </w:tc>
        <w:tc>
          <w:tcPr>
            <w:tcW w:w="1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公开依据</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公开时限</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公开主体</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公开渠道和载体</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公开对象</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公开方式</w:t>
            </w:r>
          </w:p>
        </w:tc>
        <w:tc>
          <w:tcPr>
            <w:tcW w:w="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公开层级</w:t>
            </w:r>
          </w:p>
        </w:tc>
      </w:tr>
      <w:tr>
        <w:tblPrEx>
          <w:tblCellMar>
            <w:top w:w="0" w:type="dxa"/>
            <w:left w:w="108" w:type="dxa"/>
            <w:bottom w:w="0" w:type="dxa"/>
            <w:right w:w="108" w:type="dxa"/>
          </w:tblCellMar>
        </w:tblPrEx>
        <w:trPr>
          <w:trHeight w:val="5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一级事项</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二级事项</w:t>
            </w:r>
          </w:p>
        </w:tc>
        <w:tc>
          <w:tcPr>
            <w:tcW w:w="18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全社会</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特定群体</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主动</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依申请</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县级</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乡级</w:t>
            </w:r>
          </w:p>
        </w:tc>
      </w:tr>
      <w:tr>
        <w:tblPrEx>
          <w:tblCellMar>
            <w:top w:w="0" w:type="dxa"/>
            <w:left w:w="108" w:type="dxa"/>
            <w:bottom w:w="0" w:type="dxa"/>
            <w:right w:w="108" w:type="dxa"/>
          </w:tblCellMar>
        </w:tblPrEx>
        <w:trPr>
          <w:trHeight w:val="120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法律法规</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与安全生产有关的法律、法规</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lang w:eastAsia="zh-CN"/>
              </w:rPr>
            </w:pPr>
            <w:r>
              <w:rPr>
                <w:rFonts w:hint="eastAsia" w:ascii="仿宋_GB2312" w:hAnsi="宋体" w:eastAsia="仿宋_GB2312" w:cs="宋体"/>
                <w:b/>
                <w:bCs/>
                <w:color w:val="000000"/>
                <w:kern w:val="0"/>
                <w:sz w:val="18"/>
                <w:szCs w:val="18"/>
                <w:lang w:eastAsia="zh-CN"/>
              </w:rPr>
              <w:t>勐库镇人民政府</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                          □社区/企事业单位、村公示栏（电子屏）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117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部门和地方规章</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与安全生产有关的部门和地方规章</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15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其他政策文件</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其他可以公开的与安全生产有关的政策文件，包括改革方案、发展规划、专项规划、工作计划等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12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安全生产领域有关的国家标准、行业标准、地方标准等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涉及管理相对人切身利益、需社会广泛知晓的重要改革方案等重大决策，决策前向社会公开决策草案、决策依据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2460" w:hRule="atLeast"/>
        </w:trPr>
        <w:tc>
          <w:tcPr>
            <w:tcW w:w="11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重大政策解读及回应</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有关重大政策的解读与回应，安全生产相关热点问题的解读与回应</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《中华人民共和国政府信息公开条例》(国务院令第711号）、中办国办《关于全面推进政务公开工作的意见》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重大决策作出后及时公开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45" w:hRule="atLeast"/>
        </w:trPr>
        <w:tc>
          <w:tcPr>
            <w:tcW w:w="118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7</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重要会议</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通过会议讨论作出重要改革方案等重大决策时，经党组研究认为有必要公开讨论决策过程的会议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提前一周发通知邀请</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2535" w:hRule="atLeast"/>
        </w:trPr>
        <w:tc>
          <w:tcPr>
            <w:tcW w:w="118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8</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征集采纳社会公众意见情况</w:t>
            </w:r>
          </w:p>
        </w:tc>
        <w:tc>
          <w:tcPr>
            <w:tcW w:w="186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重大决策草案公布后征集到的社会公众意见情况、采纳与否情况及理由等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征求意见时对外公布的时限内公开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252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依法行政</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行政许可</w:t>
            </w:r>
          </w:p>
        </w:tc>
        <w:tc>
          <w:tcPr>
            <w:tcW w:w="1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办理行政许可和其他对外管理服务事项的依据、条件、程序</w:t>
            </w:r>
          </w:p>
        </w:tc>
        <w:tc>
          <w:tcPr>
            <w:tcW w:w="183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32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行政处罚</w:t>
            </w:r>
          </w:p>
        </w:tc>
        <w:tc>
          <w:tcPr>
            <w:tcW w:w="1868"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办理行政处罚的依据、条件、程序以及本级行政机关认为具有一定社会影响的行政处罚决定</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行政强制</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办理行政强制的依据、条件、程序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《中华人民共和国政府信息公开条例》(国务院令第711号）《中华人民共和国突发事件应对法》、《突发事件应急预案管理办法》、《中共中央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9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隐患管理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重大隐患排查、挂牌督办及其整改情况，安全生产举报电话等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40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应急管理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承担处置主责、非敏感的应急信息，包括事故灾害类预警信息、事故信息、事故后采取的应急处置措施和应对结果等  </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《中华人民共和国政府信息公开条例》(国务院令第711号），《中华人民共和国突发事件应对法》，中央办公厅、国务院办公厅《关于全面加强政务公开工作的意见》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231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黑名单管理</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列入或撤销纳入安全生产黑名单管理的企业信息，具体企业名称、证照编号、经营地址、负责人姓名等</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《中华人民共和国政府信息公开条例》（国务院令第711号）、《社会信用体系建设规划纲要（2014-2020年）》</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92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事故通报</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4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动态信息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●业务工作动态           ●安全生产执法检查动态</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2535"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安全生产预警提示信息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●气象及灾害预警信息 </w:t>
            </w:r>
            <w:r>
              <w:rPr>
                <w:rFonts w:ascii="仿宋_GB2312" w:hAnsi="宋体" w:eastAsia="仿宋_GB2312" w:cs="宋体"/>
                <w:b/>
                <w:bCs/>
                <w:color w:val="000000"/>
                <w:kern w:val="0"/>
                <w:sz w:val="18"/>
              </w:rPr>
              <w:t xml:space="preserve">           ●不同时段、不同领域安全生产提示信息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268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政务公开目录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政务公开事项的索引、名称、内容概述、生成日期等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政府信息公开指南等流程性信息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67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权力清单及责任清单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同级政府审批通过的行政执法主体信息和行政许可、行政处罚、行政强制、行政检查、行政确认、行政奖励及其他行政职权等行政执法职权职责清单</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信息形成或者变更20个工作日内，如有更新，及时公开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主要业务办事指南</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主要业务工作的办事依据、程序、时限，办事时间、地点、部门、联系方式及相关办理结果</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65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年度报告</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政府信息公开年度报告及相关统计报表</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每年1月31日前</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4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财政资金信息</w:t>
            </w:r>
          </w:p>
        </w:tc>
        <w:tc>
          <w:tcPr>
            <w:tcW w:w="186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●预算、决算                       ●“三公”经费                     ●安全生产专项资金使用等财政资金信息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《中华人民共和国政府信息公开条例》(国务院令第711号）、《国务院关于深化预算管理制度改革的决定》、《国务院办公厅关于进一步推进预算公开工作意见的通知》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按中央要求时限公开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政府采购信息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本单位采购实施情况相关信息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《中华人民共和国政府信息公开条例》(国务院令第711号）,《国务院关于深化预算管理制度改革的决定》(国发〔2014〕45号),中办、国办印发《关于进一步推进预算公开工作的意见》的通知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办事纪律和监督管理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本单位的办事纪律,受理投诉、举报、信访的途径等内容</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277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重大工程项目信息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项目名称、执行措施、责任分工、取得成效、后续举措等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《中华人民共和国政府信息公开条例》(国务院令第711号）、《国务院办公厅关于推进重大建设项目批准和实施领域政府信息公开的意见》（国办发〔2017〕94号）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检查和巡查发现安全监管监察问题</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检查和巡查发现的、并要求向社会公开的问题及整改落实情况</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r>
      <w:tr>
        <w:tblPrEx>
          <w:tblCellMar>
            <w:top w:w="0" w:type="dxa"/>
            <w:left w:w="108" w:type="dxa"/>
            <w:bottom w:w="0" w:type="dxa"/>
            <w:right w:w="108" w:type="dxa"/>
          </w:tblCellMar>
        </w:tblPrEx>
        <w:trPr>
          <w:trHeight w:val="291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建议提案办理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●办理制度与推进情况 </w:t>
            </w:r>
            <w:r>
              <w:rPr>
                <w:rFonts w:ascii="仿宋_GB2312" w:hAnsi="宋体" w:eastAsia="仿宋_GB2312" w:cs="宋体"/>
                <w:b/>
                <w:bCs/>
                <w:color w:val="000000"/>
                <w:kern w:val="0"/>
                <w:sz w:val="18"/>
              </w:rPr>
              <w:t xml:space="preserve">           ●人大代表建议办理              ●政协委员提案办理</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《中华人民共和国政府信息公开条例》(国务院令第711号）、《国务院办公厅关于做好全国人大代表建议和全国政协委员提案办理结果公开工作的通知》（国办发〔2014〕46号）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勐库镇人民政府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NjYjhhZTliZmIzZGQ1NGUxMmFkNDhhYjRmZjQzMWMifQ=="/>
  </w:docVars>
  <w:rsids>
    <w:rsidRoot w:val="002C56F5"/>
    <w:rsid w:val="002C56F5"/>
    <w:rsid w:val="00AC3493"/>
    <w:rsid w:val="00EB5EDB"/>
    <w:rsid w:val="289C605B"/>
    <w:rsid w:val="2ECF3B81"/>
    <w:rsid w:val="7A56459F"/>
    <w:rsid w:val="7DE9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仿宋_GB2312" w:eastAsia="仿宋_GB2312"/>
      <w:b/>
      <w:bCs/>
      <w:color w:val="000000"/>
      <w:sz w:val="18"/>
      <w:szCs w:val="18"/>
      <w:u w:val="non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988</Words>
  <Characters>5633</Characters>
  <Lines>46</Lines>
  <Paragraphs>13</Paragraphs>
  <TotalTime>0</TotalTime>
  <ScaleCrop>false</ScaleCrop>
  <LinksUpToDate>false</LinksUpToDate>
  <CharactersWithSpaces>6608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2020-09-28T02:08:00Z</dcterms:created>
  <dc:creator>admin</dc:creator>
  <cp:lastModifiedBy>王双麟</cp:lastModifiedBy>
  <dcterms:modified xsi:type="dcterms:W3CDTF">2024-02-27T08:12:54Z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F2FB3D0807B04526A2E1AC2BF9ACEA10_12</vt:lpwstr>
  </property>
</Properties>
</file>