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D86E3">
      <w:pPr>
        <w:jc w:val="center"/>
        <w:rPr>
          <w:rFonts w:ascii="方正粗宋简体" w:hAnsi="方正粗宋简体" w:eastAsia="方正粗宋简体"/>
          <w:b/>
          <w:sz w:val="48"/>
          <w:szCs w:val="48"/>
        </w:rPr>
      </w:pPr>
      <w:r>
        <w:rPr>
          <w:rFonts w:hint="eastAsia" w:ascii="方正粗宋简体" w:hAnsi="方正粗宋简体" w:eastAsia="方正粗宋简体"/>
          <w:b/>
          <w:sz w:val="48"/>
          <w:szCs w:val="48"/>
        </w:rPr>
        <w:t>行政许可事项实施规范</w:t>
      </w:r>
    </w:p>
    <w:p w14:paraId="643F7D83">
      <w:pPr>
        <w:jc w:val="center"/>
        <w:rPr>
          <w:rFonts w:ascii="方正粗宋简体" w:hAnsi="方正粗宋简体" w:eastAsia="方正粗宋简体"/>
          <w:b/>
          <w:sz w:val="48"/>
          <w:szCs w:val="48"/>
        </w:rPr>
      </w:pPr>
      <w:r>
        <w:rPr>
          <w:rFonts w:hint="eastAsia" w:ascii="方正粗宋简体" w:hAnsi="方正粗宋简体" w:eastAsia="方正粗宋简体"/>
          <w:b/>
          <w:sz w:val="48"/>
          <w:szCs w:val="48"/>
        </w:rPr>
        <w:t>（基本要素）</w:t>
      </w:r>
    </w:p>
    <w:p w14:paraId="526BECA2">
      <w:pPr>
        <w:rPr>
          <w:rFonts w:ascii="黑体" w:hAnsi="黑体" w:eastAsia="黑体"/>
          <w:b/>
          <w:sz w:val="32"/>
          <w:szCs w:val="32"/>
        </w:rPr>
      </w:pPr>
      <w:r>
        <w:rPr>
          <w:rFonts w:hint="eastAsia" w:ascii="黑体" w:hAnsi="黑体" w:eastAsia="黑体"/>
          <w:b/>
          <w:sz w:val="32"/>
          <w:szCs w:val="32"/>
        </w:rPr>
        <w:t>一、行政许可事项名称：</w:t>
      </w:r>
    </w:p>
    <w:p w14:paraId="5E4C4B0B">
      <w:pPr>
        <w:rPr>
          <w:rFonts w:ascii="仿宋" w:hAnsi="仿宋" w:eastAsia="仿宋"/>
          <w:sz w:val="32"/>
          <w:szCs w:val="32"/>
        </w:rPr>
      </w:pPr>
      <w:r>
        <w:rPr>
          <w:rFonts w:hint="eastAsia" w:ascii="仿宋" w:hAnsi="仿宋" w:eastAsia="仿宋"/>
          <w:sz w:val="32"/>
          <w:szCs w:val="32"/>
        </w:rPr>
        <w:t>公路超限运输许可</w:t>
      </w:r>
    </w:p>
    <w:p w14:paraId="32916601">
      <w:pPr>
        <w:rPr>
          <w:rFonts w:ascii="黑体" w:hAnsi="黑体" w:eastAsia="黑体"/>
          <w:b/>
          <w:sz w:val="32"/>
          <w:szCs w:val="32"/>
        </w:rPr>
      </w:pPr>
      <w:r>
        <w:rPr>
          <w:rFonts w:hint="eastAsia" w:ascii="黑体" w:hAnsi="黑体" w:eastAsia="黑体"/>
          <w:b/>
          <w:sz w:val="32"/>
          <w:szCs w:val="32"/>
        </w:rPr>
        <w:t>二、主管部门：</w:t>
      </w:r>
    </w:p>
    <w:p w14:paraId="11F6AAA0">
      <w:pPr>
        <w:rPr>
          <w:rFonts w:ascii="仿宋" w:hAnsi="仿宋" w:eastAsia="仿宋"/>
          <w:color w:val="FF0000"/>
          <w:sz w:val="32"/>
          <w:szCs w:val="32"/>
        </w:rPr>
      </w:pPr>
      <w:r>
        <w:rPr>
          <w:rFonts w:hint="eastAsia" w:ascii="仿宋" w:hAnsi="仿宋" w:eastAsia="仿宋"/>
          <w:color w:val="FF0000"/>
          <w:sz w:val="32"/>
          <w:szCs w:val="32"/>
        </w:rPr>
        <w:t>市交通运输局</w:t>
      </w:r>
    </w:p>
    <w:p w14:paraId="28DC84A9">
      <w:pPr>
        <w:rPr>
          <w:rFonts w:ascii="黑体" w:hAnsi="黑体" w:eastAsia="黑体"/>
          <w:b/>
          <w:sz w:val="32"/>
          <w:szCs w:val="32"/>
        </w:rPr>
      </w:pPr>
      <w:r>
        <w:rPr>
          <w:rFonts w:hint="eastAsia" w:ascii="黑体" w:hAnsi="黑体" w:eastAsia="黑体"/>
          <w:b/>
          <w:sz w:val="32"/>
          <w:szCs w:val="32"/>
        </w:rPr>
        <w:t>三、实施机关：</w:t>
      </w:r>
    </w:p>
    <w:p w14:paraId="7372FE25">
      <w:pPr>
        <w:rPr>
          <w:rFonts w:ascii="仿宋" w:hAnsi="仿宋" w:eastAsia="仿宋"/>
          <w:color w:val="FF0000"/>
          <w:sz w:val="32"/>
          <w:szCs w:val="32"/>
        </w:rPr>
      </w:pPr>
      <w:r>
        <w:rPr>
          <w:rFonts w:hint="eastAsia" w:ascii="仿宋" w:hAnsi="仿宋" w:eastAsia="仿宋"/>
          <w:color w:val="FF0000"/>
          <w:sz w:val="32"/>
          <w:szCs w:val="32"/>
        </w:rPr>
        <w:t>市交通运输局、县（区）交通运输部门</w:t>
      </w:r>
    </w:p>
    <w:p w14:paraId="615A09E1">
      <w:pPr>
        <w:rPr>
          <w:rFonts w:ascii="黑体" w:hAnsi="黑体" w:eastAsia="黑体"/>
          <w:b/>
          <w:sz w:val="32"/>
          <w:szCs w:val="32"/>
        </w:rPr>
      </w:pPr>
      <w:r>
        <w:rPr>
          <w:rFonts w:hint="eastAsia" w:ascii="黑体" w:hAnsi="黑体" w:eastAsia="黑体"/>
          <w:b/>
          <w:sz w:val="32"/>
          <w:szCs w:val="32"/>
        </w:rPr>
        <w:t>四、设定和实施依据：</w:t>
      </w:r>
    </w:p>
    <w:p w14:paraId="7434CDBF">
      <w:pPr>
        <w:rPr>
          <w:rFonts w:ascii="仿宋" w:hAnsi="仿宋" w:eastAsia="仿宋"/>
          <w:sz w:val="32"/>
          <w:szCs w:val="32"/>
        </w:rPr>
      </w:pPr>
      <w:r>
        <w:rPr>
          <w:rFonts w:hint="eastAsia" w:ascii="仿宋" w:hAnsi="仿宋" w:eastAsia="仿宋"/>
          <w:sz w:val="32"/>
          <w:szCs w:val="32"/>
        </w:rPr>
        <w:t>《中华人民共和国公路法》《公路安全保护条例》《超限运输车辆行驶公路管理规定》（交通运输部令 2016 年第 62 号）</w:t>
      </w:r>
    </w:p>
    <w:p w14:paraId="139A9830">
      <w:pPr>
        <w:rPr>
          <w:rFonts w:ascii="黑体" w:hAnsi="黑体" w:eastAsia="黑体"/>
          <w:b/>
          <w:sz w:val="32"/>
          <w:szCs w:val="32"/>
        </w:rPr>
      </w:pPr>
      <w:r>
        <w:rPr>
          <w:rFonts w:hint="eastAsia" w:ascii="黑体" w:hAnsi="黑体" w:eastAsia="黑体"/>
          <w:b/>
          <w:sz w:val="32"/>
          <w:szCs w:val="32"/>
        </w:rPr>
        <w:t>五、子项：</w:t>
      </w:r>
    </w:p>
    <w:p w14:paraId="41FB9331">
      <w:pPr>
        <w:rPr>
          <w:rFonts w:ascii="仿宋" w:hAnsi="仿宋" w:eastAsia="仿宋"/>
          <w:sz w:val="32"/>
          <w:szCs w:val="32"/>
        </w:rPr>
      </w:pPr>
      <w:r>
        <w:rPr>
          <w:rFonts w:hint="eastAsia" w:ascii="仿宋" w:hAnsi="仿宋" w:eastAsia="仿宋"/>
          <w:sz w:val="32"/>
          <w:szCs w:val="32"/>
        </w:rPr>
        <w:t>1.在设区的市范围内跨区、县进行公路超限运输许可</w:t>
      </w:r>
    </w:p>
    <w:p w14:paraId="5074B2B8">
      <w:pPr>
        <w:rPr>
          <w:rFonts w:ascii="仿宋" w:hAnsi="仿宋" w:eastAsia="仿宋"/>
          <w:sz w:val="32"/>
          <w:szCs w:val="32"/>
        </w:rPr>
      </w:pPr>
      <w:r>
        <w:rPr>
          <w:rFonts w:hint="eastAsia" w:ascii="仿宋" w:hAnsi="仿宋" w:eastAsia="仿宋"/>
          <w:sz w:val="32"/>
          <w:szCs w:val="32"/>
        </w:rPr>
        <w:t>2.在区、县范围内进行公路超限运输许可</w:t>
      </w:r>
    </w:p>
    <w:p w14:paraId="5AAACB45">
      <w:pPr>
        <w:rPr>
          <w:rFonts w:ascii="仿宋" w:hAnsi="仿宋" w:eastAsia="仿宋"/>
          <w:sz w:val="32"/>
          <w:szCs w:val="32"/>
        </w:rPr>
      </w:pPr>
    </w:p>
    <w:p w14:paraId="659D5AC9">
      <w:pPr>
        <w:rPr>
          <w:rFonts w:ascii="仿宋" w:hAnsi="仿宋" w:eastAsia="仿宋"/>
          <w:sz w:val="32"/>
          <w:szCs w:val="32"/>
        </w:rPr>
      </w:pPr>
    </w:p>
    <w:p w14:paraId="125BECFB">
      <w:pPr>
        <w:rPr>
          <w:rFonts w:ascii="仿宋" w:hAnsi="仿宋" w:eastAsia="仿宋"/>
          <w:sz w:val="32"/>
          <w:szCs w:val="32"/>
        </w:rPr>
      </w:pPr>
    </w:p>
    <w:p w14:paraId="35BA4F62">
      <w:pPr>
        <w:rPr>
          <w:rFonts w:ascii="仿宋" w:hAnsi="仿宋" w:eastAsia="仿宋"/>
          <w:sz w:val="32"/>
          <w:szCs w:val="32"/>
        </w:rPr>
      </w:pPr>
    </w:p>
    <w:p w14:paraId="67B475D3">
      <w:pPr>
        <w:rPr>
          <w:rFonts w:ascii="仿宋" w:hAnsi="仿宋" w:eastAsia="仿宋"/>
          <w:sz w:val="32"/>
          <w:szCs w:val="32"/>
        </w:rPr>
      </w:pPr>
    </w:p>
    <w:p w14:paraId="603512F0">
      <w:pPr>
        <w:rPr>
          <w:rFonts w:ascii="仿宋" w:hAnsi="仿宋" w:eastAsia="仿宋"/>
          <w:sz w:val="32"/>
          <w:szCs w:val="32"/>
        </w:rPr>
      </w:pPr>
    </w:p>
    <w:p w14:paraId="58ECC744">
      <w:pPr>
        <w:rPr>
          <w:rFonts w:ascii="仿宋" w:hAnsi="仿宋" w:eastAsia="仿宋"/>
          <w:sz w:val="32"/>
          <w:szCs w:val="32"/>
        </w:rPr>
      </w:pPr>
    </w:p>
    <w:p w14:paraId="7A3227FA">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在设区的市范围内跨区、县进行公路</w:t>
      </w:r>
    </w:p>
    <w:p w14:paraId="2F9BCD1A">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超限运输许可</w:t>
      </w:r>
    </w:p>
    <w:p w14:paraId="4B3D4080">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【000118206003】</w:t>
      </w:r>
    </w:p>
    <w:p w14:paraId="0A081F98">
      <w:pPr>
        <w:rPr>
          <w:rFonts w:ascii="黑体" w:hAnsi="黑体" w:eastAsia="黑体"/>
          <w:b/>
          <w:sz w:val="32"/>
          <w:szCs w:val="32"/>
        </w:rPr>
      </w:pPr>
      <w:r>
        <w:rPr>
          <w:rFonts w:hint="eastAsia" w:ascii="黑体" w:hAnsi="黑体" w:eastAsia="黑体"/>
          <w:b/>
          <w:sz w:val="32"/>
          <w:szCs w:val="32"/>
        </w:rPr>
        <w:t>一、基本要素</w:t>
      </w:r>
    </w:p>
    <w:p w14:paraId="35EEA06E">
      <w:pPr>
        <w:rPr>
          <w:rFonts w:ascii="楷体" w:hAnsi="楷体" w:eastAsia="楷体"/>
          <w:b/>
          <w:sz w:val="32"/>
          <w:szCs w:val="32"/>
        </w:rPr>
      </w:pPr>
      <w:r>
        <w:rPr>
          <w:rFonts w:hint="eastAsia" w:ascii="楷体" w:hAnsi="楷体" w:eastAsia="楷体"/>
          <w:b/>
          <w:sz w:val="32"/>
          <w:szCs w:val="32"/>
        </w:rPr>
        <w:t>1. 行政许可事项名称 及编码</w:t>
      </w:r>
    </w:p>
    <w:p w14:paraId="1F4FD6DD">
      <w:pPr>
        <w:rPr>
          <w:rFonts w:ascii="仿宋" w:hAnsi="仿宋" w:eastAsia="仿宋"/>
          <w:sz w:val="32"/>
          <w:szCs w:val="32"/>
        </w:rPr>
      </w:pPr>
      <w:r>
        <w:rPr>
          <w:rFonts w:hint="eastAsia" w:ascii="仿宋" w:hAnsi="仿宋" w:eastAsia="仿宋"/>
          <w:sz w:val="32"/>
          <w:szCs w:val="32"/>
        </w:rPr>
        <w:t>公路超限运输许可【00011820600Y】</w:t>
      </w:r>
    </w:p>
    <w:p w14:paraId="35DAC1E5">
      <w:pPr>
        <w:rPr>
          <w:rFonts w:ascii="楷体" w:hAnsi="楷体" w:eastAsia="楷体"/>
          <w:b/>
          <w:sz w:val="32"/>
          <w:szCs w:val="32"/>
        </w:rPr>
      </w:pPr>
      <w:r>
        <w:rPr>
          <w:rFonts w:hint="eastAsia" w:ascii="楷体" w:hAnsi="楷体" w:eastAsia="楷体"/>
          <w:b/>
          <w:sz w:val="32"/>
          <w:szCs w:val="32"/>
        </w:rPr>
        <w:t>2. 行政许可 事项子项名称及编码</w:t>
      </w:r>
    </w:p>
    <w:p w14:paraId="66D8575C">
      <w:pPr>
        <w:rPr>
          <w:rFonts w:ascii="仿宋" w:hAnsi="仿宋" w:eastAsia="仿宋"/>
          <w:sz w:val="32"/>
          <w:szCs w:val="32"/>
        </w:rPr>
      </w:pPr>
      <w:r>
        <w:rPr>
          <w:rFonts w:hint="eastAsia" w:ascii="仿宋" w:hAnsi="仿宋" w:eastAsia="仿宋"/>
          <w:sz w:val="32"/>
          <w:szCs w:val="32"/>
        </w:rPr>
        <w:t>在 设 区 的 市 范 围 内 跨 区 、 县 进 行 公 路 超 限 运 输 许 可【000118206003】</w:t>
      </w:r>
    </w:p>
    <w:p w14:paraId="330AE36F">
      <w:pPr>
        <w:rPr>
          <w:rFonts w:ascii="楷体" w:hAnsi="楷体" w:eastAsia="楷体"/>
          <w:b/>
          <w:sz w:val="32"/>
          <w:szCs w:val="32"/>
        </w:rPr>
      </w:pPr>
      <w:r>
        <w:rPr>
          <w:rFonts w:hint="eastAsia" w:ascii="楷体" w:hAnsi="楷体" w:eastAsia="楷体"/>
          <w:b/>
          <w:sz w:val="32"/>
          <w:szCs w:val="32"/>
        </w:rPr>
        <w:t>3. 行政许可事项业务办理项名称及编码</w:t>
      </w:r>
    </w:p>
    <w:p w14:paraId="756B6EE1">
      <w:pPr>
        <w:rPr>
          <w:rFonts w:ascii="仿宋" w:hAnsi="仿宋" w:eastAsia="仿宋"/>
          <w:sz w:val="32"/>
          <w:szCs w:val="32"/>
        </w:rPr>
      </w:pPr>
      <w:r>
        <w:rPr>
          <w:rFonts w:hint="eastAsia" w:ascii="仿宋" w:hAnsi="仿宋" w:eastAsia="仿宋"/>
          <w:sz w:val="32"/>
          <w:szCs w:val="32"/>
        </w:rPr>
        <w:t>1. 在 设 区 的 市 范 围 内 跨 区 、 县 进 行 公 路 超 限 运 输 许 可</w:t>
      </w:r>
      <w:r>
        <w:rPr>
          <w:rFonts w:ascii="仿宋" w:hAnsi="仿宋" w:eastAsia="仿宋"/>
          <w:sz w:val="32"/>
          <w:szCs w:val="32"/>
        </w:rPr>
        <w:t>(00011820600301)</w:t>
      </w:r>
    </w:p>
    <w:p w14:paraId="406E7BC6">
      <w:pPr>
        <w:rPr>
          <w:rFonts w:ascii="楷体" w:hAnsi="楷体" w:eastAsia="楷体"/>
          <w:b/>
          <w:sz w:val="32"/>
          <w:szCs w:val="32"/>
        </w:rPr>
      </w:pPr>
      <w:r>
        <w:rPr>
          <w:rFonts w:hint="eastAsia" w:ascii="楷体" w:hAnsi="楷体" w:eastAsia="楷体"/>
          <w:b/>
          <w:sz w:val="32"/>
          <w:szCs w:val="32"/>
        </w:rPr>
        <w:t>4. 设定依据</w:t>
      </w:r>
    </w:p>
    <w:p w14:paraId="5B2DDB09">
      <w:pPr>
        <w:rPr>
          <w:rFonts w:ascii="仿宋" w:hAnsi="仿宋" w:eastAsia="仿宋"/>
          <w:sz w:val="32"/>
          <w:szCs w:val="32"/>
        </w:rPr>
      </w:pPr>
      <w:r>
        <w:rPr>
          <w:rFonts w:hint="eastAsia" w:ascii="仿宋" w:hAnsi="仿宋" w:eastAsia="仿宋"/>
          <w:sz w:val="32"/>
          <w:szCs w:val="32"/>
        </w:rPr>
        <w:t>（1）《中华人民共和国公路法》第五十条</w:t>
      </w:r>
    </w:p>
    <w:p w14:paraId="18FF28DB">
      <w:pPr>
        <w:rPr>
          <w:rFonts w:ascii="仿宋" w:hAnsi="仿宋" w:eastAsia="仿宋"/>
          <w:sz w:val="32"/>
          <w:szCs w:val="32"/>
        </w:rPr>
      </w:pPr>
      <w:r>
        <w:rPr>
          <w:rFonts w:hint="eastAsia" w:ascii="仿宋" w:hAnsi="仿宋" w:eastAsia="仿宋"/>
          <w:sz w:val="32"/>
          <w:szCs w:val="32"/>
        </w:rPr>
        <w:t>（2）《公路安全保护条例》第三十五条</w:t>
      </w:r>
    </w:p>
    <w:p w14:paraId="51E2CAB8">
      <w:pPr>
        <w:rPr>
          <w:rFonts w:ascii="楷体" w:hAnsi="楷体" w:eastAsia="楷体"/>
          <w:b/>
          <w:sz w:val="32"/>
          <w:szCs w:val="32"/>
        </w:rPr>
      </w:pPr>
      <w:r>
        <w:rPr>
          <w:rFonts w:hint="eastAsia" w:ascii="楷体" w:hAnsi="楷体" w:eastAsia="楷体"/>
          <w:b/>
          <w:sz w:val="32"/>
          <w:szCs w:val="32"/>
        </w:rPr>
        <w:t>5. 实施依据</w:t>
      </w:r>
    </w:p>
    <w:p w14:paraId="00223A9D">
      <w:pPr>
        <w:rPr>
          <w:rFonts w:ascii="仿宋" w:hAnsi="仿宋" w:eastAsia="仿宋"/>
          <w:sz w:val="32"/>
          <w:szCs w:val="32"/>
        </w:rPr>
      </w:pPr>
      <w:r>
        <w:rPr>
          <w:rFonts w:hint="eastAsia" w:ascii="仿宋" w:hAnsi="仿宋" w:eastAsia="仿宋"/>
          <w:sz w:val="32"/>
          <w:szCs w:val="32"/>
        </w:rPr>
        <w:t>（1）《公路安全保护条例》第三十六条</w:t>
      </w:r>
    </w:p>
    <w:p w14:paraId="2693679F">
      <w:pPr>
        <w:rPr>
          <w:rFonts w:ascii="仿宋" w:hAnsi="仿宋" w:eastAsia="仿宋"/>
          <w:sz w:val="32"/>
          <w:szCs w:val="32"/>
        </w:rPr>
      </w:pPr>
      <w:r>
        <w:rPr>
          <w:rFonts w:hint="eastAsia" w:ascii="仿宋" w:hAnsi="仿宋" w:eastAsia="仿宋"/>
          <w:sz w:val="32"/>
          <w:szCs w:val="32"/>
        </w:rPr>
        <w:t>（2）《超限运输车辆行驶公路管理规定》（交通运输部令 2021年第 12 号）第十九条</w:t>
      </w:r>
    </w:p>
    <w:p w14:paraId="78104FC7">
      <w:pPr>
        <w:rPr>
          <w:rFonts w:ascii="楷体" w:hAnsi="楷体" w:eastAsia="楷体"/>
          <w:b/>
          <w:sz w:val="32"/>
          <w:szCs w:val="32"/>
        </w:rPr>
      </w:pPr>
      <w:r>
        <w:rPr>
          <w:rFonts w:hint="eastAsia" w:ascii="楷体" w:hAnsi="楷体" w:eastAsia="楷体"/>
          <w:b/>
          <w:sz w:val="32"/>
          <w:szCs w:val="32"/>
        </w:rPr>
        <w:t>6. 监管依据</w:t>
      </w:r>
    </w:p>
    <w:p w14:paraId="4397217B">
      <w:pPr>
        <w:rPr>
          <w:rFonts w:ascii="仿宋" w:hAnsi="仿宋" w:eastAsia="仿宋"/>
          <w:sz w:val="32"/>
          <w:szCs w:val="32"/>
        </w:rPr>
      </w:pPr>
      <w:r>
        <w:rPr>
          <w:rFonts w:hint="eastAsia" w:ascii="仿宋" w:hAnsi="仿宋" w:eastAsia="仿宋"/>
          <w:sz w:val="32"/>
          <w:szCs w:val="32"/>
        </w:rPr>
        <w:t>（1）《中华人民共和国公路法》第七十六条</w:t>
      </w:r>
    </w:p>
    <w:p w14:paraId="6ABFE12F">
      <w:pPr>
        <w:rPr>
          <w:rFonts w:ascii="仿宋" w:hAnsi="仿宋" w:eastAsia="仿宋"/>
          <w:sz w:val="32"/>
          <w:szCs w:val="32"/>
        </w:rPr>
      </w:pPr>
      <w:r>
        <w:rPr>
          <w:rFonts w:hint="eastAsia" w:ascii="仿宋" w:hAnsi="仿宋" w:eastAsia="仿宋"/>
          <w:sz w:val="32"/>
          <w:szCs w:val="32"/>
        </w:rPr>
        <w:t>（2）《公路安全保护条例》第三十七条、第三十八条、第六</w:t>
      </w:r>
      <w:r>
        <w:rPr>
          <w:rFonts w:hint="eastAsia" w:ascii="仿宋" w:hAnsi="仿宋" w:eastAsia="仿宋"/>
          <w:sz w:val="32"/>
          <w:szCs w:val="32"/>
          <w:lang w:eastAsia="zh-CN"/>
        </w:rPr>
        <w:t>十条</w:t>
      </w:r>
    </w:p>
    <w:p w14:paraId="2CF0AAF9">
      <w:pPr>
        <w:rPr>
          <w:rFonts w:ascii="仿宋" w:hAnsi="仿宋" w:eastAsia="仿宋"/>
          <w:sz w:val="32"/>
          <w:szCs w:val="32"/>
        </w:rPr>
      </w:pPr>
      <w:r>
        <w:rPr>
          <w:rFonts w:hint="eastAsia" w:ascii="仿宋" w:hAnsi="仿宋" w:eastAsia="仿宋"/>
          <w:sz w:val="32"/>
          <w:szCs w:val="32"/>
        </w:rPr>
        <w:t>四条、第六十五条</w:t>
      </w:r>
    </w:p>
    <w:p w14:paraId="2C1DA2FE">
      <w:pPr>
        <w:rPr>
          <w:rFonts w:ascii="仿宋" w:hAnsi="仿宋" w:eastAsia="仿宋"/>
          <w:sz w:val="32"/>
          <w:szCs w:val="32"/>
        </w:rPr>
      </w:pPr>
      <w:r>
        <w:rPr>
          <w:rFonts w:hint="eastAsia" w:ascii="仿宋" w:hAnsi="仿宋" w:eastAsia="仿宋"/>
          <w:sz w:val="32"/>
          <w:szCs w:val="32"/>
        </w:rPr>
        <w:t>（3）《超限运输车辆行驶公路管理规定》（交通运输部令 2021</w:t>
      </w:r>
    </w:p>
    <w:p w14:paraId="4EB11189">
      <w:pPr>
        <w:rPr>
          <w:rFonts w:ascii="仿宋" w:hAnsi="仿宋" w:eastAsia="仿宋"/>
          <w:sz w:val="32"/>
          <w:szCs w:val="32"/>
        </w:rPr>
      </w:pPr>
      <w:r>
        <w:rPr>
          <w:rFonts w:hint="eastAsia" w:ascii="仿宋" w:hAnsi="仿宋" w:eastAsia="仿宋"/>
          <w:sz w:val="32"/>
          <w:szCs w:val="32"/>
          <w:lang w:eastAsia="zh-CN"/>
        </w:rPr>
        <w:t>第</w:t>
      </w:r>
      <w:r>
        <w:rPr>
          <w:rFonts w:hint="eastAsia" w:ascii="仿宋" w:hAnsi="仿宋" w:eastAsia="仿宋"/>
          <w:sz w:val="32"/>
          <w:szCs w:val="32"/>
        </w:rPr>
        <w:t xml:space="preserve"> 12 号）第二十一条、第四十三条、第四十五条</w:t>
      </w:r>
    </w:p>
    <w:p w14:paraId="72DF881B">
      <w:pPr>
        <w:rPr>
          <w:rFonts w:ascii="仿宋" w:hAnsi="仿宋" w:eastAsia="仿宋"/>
          <w:color w:val="FF0000"/>
          <w:sz w:val="32"/>
          <w:szCs w:val="32"/>
        </w:rPr>
      </w:pPr>
      <w:r>
        <w:rPr>
          <w:rFonts w:hint="eastAsia" w:ascii="楷体" w:hAnsi="楷体" w:eastAsia="楷体"/>
          <w:b/>
          <w:sz w:val="32"/>
          <w:szCs w:val="32"/>
        </w:rPr>
        <w:t>7. 实施机关 ：</w:t>
      </w:r>
      <w:r>
        <w:rPr>
          <w:rFonts w:hint="eastAsia" w:ascii="仿宋" w:hAnsi="仿宋" w:eastAsia="仿宋"/>
          <w:color w:val="FF0000"/>
          <w:sz w:val="32"/>
          <w:szCs w:val="32"/>
        </w:rPr>
        <w:t>市交通运输局</w:t>
      </w:r>
    </w:p>
    <w:p w14:paraId="7307A3D4">
      <w:pPr>
        <w:rPr>
          <w:rFonts w:ascii="仿宋" w:hAnsi="仿宋" w:eastAsia="仿宋"/>
          <w:sz w:val="32"/>
          <w:szCs w:val="32"/>
        </w:rPr>
      </w:pPr>
      <w:r>
        <w:rPr>
          <w:rFonts w:hint="eastAsia" w:ascii="楷体" w:hAnsi="楷体" w:eastAsia="楷体"/>
          <w:b/>
          <w:sz w:val="32"/>
          <w:szCs w:val="32"/>
        </w:rPr>
        <w:t>8. 审批层级 ：</w:t>
      </w:r>
      <w:r>
        <w:rPr>
          <w:rFonts w:hint="eastAsia" w:ascii="仿宋" w:hAnsi="仿宋" w:eastAsia="仿宋"/>
          <w:sz w:val="32"/>
          <w:szCs w:val="32"/>
        </w:rPr>
        <w:t>设区的市级</w:t>
      </w:r>
    </w:p>
    <w:p w14:paraId="5E979933">
      <w:pPr>
        <w:rPr>
          <w:rFonts w:ascii="仿宋" w:hAnsi="仿宋" w:eastAsia="仿宋"/>
          <w:sz w:val="32"/>
          <w:szCs w:val="32"/>
        </w:rPr>
      </w:pPr>
      <w:r>
        <w:rPr>
          <w:rFonts w:hint="eastAsia" w:ascii="楷体" w:hAnsi="楷体" w:eastAsia="楷体"/>
          <w:b/>
          <w:sz w:val="32"/>
          <w:szCs w:val="32"/>
        </w:rPr>
        <w:t>9. 行使层级 ：</w:t>
      </w:r>
      <w:r>
        <w:rPr>
          <w:rFonts w:hint="eastAsia" w:ascii="仿宋" w:hAnsi="仿宋" w:eastAsia="仿宋"/>
          <w:sz w:val="32"/>
          <w:szCs w:val="32"/>
        </w:rPr>
        <w:t>市级</w:t>
      </w:r>
    </w:p>
    <w:p w14:paraId="7C5E9F18">
      <w:pPr>
        <w:rPr>
          <w:rFonts w:ascii="仿宋" w:hAnsi="仿宋" w:eastAsia="仿宋"/>
          <w:sz w:val="32"/>
          <w:szCs w:val="32"/>
        </w:rPr>
      </w:pPr>
      <w:r>
        <w:rPr>
          <w:rFonts w:hint="eastAsia" w:ascii="楷体" w:hAnsi="楷体" w:eastAsia="楷体"/>
          <w:b/>
          <w:sz w:val="32"/>
          <w:szCs w:val="32"/>
        </w:rPr>
        <w:t xml:space="preserve">10. 是否由审批机关受理 </w:t>
      </w:r>
      <w:r>
        <w:rPr>
          <w:rFonts w:hint="eastAsia" w:ascii="仿宋" w:hAnsi="仿宋" w:eastAsia="仿宋"/>
          <w:sz w:val="32"/>
          <w:szCs w:val="32"/>
        </w:rPr>
        <w:t>：是</w:t>
      </w:r>
    </w:p>
    <w:p w14:paraId="3AA3CDEB">
      <w:pPr>
        <w:rPr>
          <w:rFonts w:ascii="仿宋" w:hAnsi="仿宋" w:eastAsia="仿宋"/>
          <w:sz w:val="32"/>
          <w:szCs w:val="32"/>
        </w:rPr>
      </w:pPr>
      <w:r>
        <w:rPr>
          <w:rFonts w:hint="eastAsia" w:ascii="楷体" w:hAnsi="楷体" w:eastAsia="楷体"/>
          <w:b/>
          <w:sz w:val="32"/>
          <w:szCs w:val="32"/>
        </w:rPr>
        <w:t>11. 受理层级 ：</w:t>
      </w:r>
      <w:r>
        <w:rPr>
          <w:rFonts w:hint="eastAsia" w:ascii="仿宋" w:hAnsi="仿宋" w:eastAsia="仿宋"/>
          <w:sz w:val="32"/>
          <w:szCs w:val="32"/>
        </w:rPr>
        <w:t>设区的市级</w:t>
      </w:r>
    </w:p>
    <w:p w14:paraId="38AA4535">
      <w:pPr>
        <w:rPr>
          <w:rFonts w:ascii="仿宋" w:hAnsi="仿宋" w:eastAsia="仿宋"/>
          <w:sz w:val="32"/>
          <w:szCs w:val="32"/>
        </w:rPr>
      </w:pPr>
      <w:r>
        <w:rPr>
          <w:rFonts w:hint="eastAsia" w:ascii="楷体" w:hAnsi="楷体" w:eastAsia="楷体"/>
          <w:b/>
          <w:sz w:val="32"/>
          <w:szCs w:val="32"/>
        </w:rPr>
        <w:t xml:space="preserve">12. 是否存在初审环节 </w:t>
      </w:r>
      <w:r>
        <w:rPr>
          <w:rFonts w:hint="eastAsia" w:ascii="仿宋" w:hAnsi="仿宋" w:eastAsia="仿宋"/>
          <w:sz w:val="32"/>
          <w:szCs w:val="32"/>
        </w:rPr>
        <w:t>：否</w:t>
      </w:r>
    </w:p>
    <w:p w14:paraId="1228DF02">
      <w:pPr>
        <w:rPr>
          <w:rFonts w:ascii="仿宋" w:hAnsi="仿宋" w:eastAsia="仿宋"/>
          <w:sz w:val="32"/>
          <w:szCs w:val="32"/>
        </w:rPr>
      </w:pPr>
      <w:r>
        <w:rPr>
          <w:rFonts w:hint="eastAsia" w:ascii="楷体" w:hAnsi="楷体" w:eastAsia="楷体"/>
          <w:b/>
          <w:sz w:val="32"/>
          <w:szCs w:val="32"/>
        </w:rPr>
        <w:t>13. 初审层级 ：</w:t>
      </w:r>
      <w:r>
        <w:rPr>
          <w:rFonts w:hint="eastAsia" w:ascii="仿宋" w:hAnsi="仿宋" w:eastAsia="仿宋"/>
          <w:sz w:val="32"/>
          <w:szCs w:val="32"/>
        </w:rPr>
        <w:t>无</w:t>
      </w:r>
    </w:p>
    <w:p w14:paraId="38FBCEAC">
      <w:pPr>
        <w:rPr>
          <w:rFonts w:ascii="仿宋" w:hAnsi="仿宋" w:eastAsia="仿宋"/>
          <w:sz w:val="32"/>
          <w:szCs w:val="32"/>
        </w:rPr>
      </w:pPr>
      <w:r>
        <w:rPr>
          <w:rFonts w:hint="eastAsia" w:ascii="楷体" w:hAnsi="楷体" w:eastAsia="楷体"/>
          <w:b/>
          <w:sz w:val="32"/>
          <w:szCs w:val="32"/>
        </w:rPr>
        <w:t>14. 对应政务服务事项国家级基本目录名称 ：</w:t>
      </w:r>
      <w:r>
        <w:rPr>
          <w:rFonts w:hint="eastAsia" w:ascii="仿宋" w:hAnsi="仿宋" w:eastAsia="仿宋"/>
          <w:sz w:val="32"/>
          <w:szCs w:val="32"/>
        </w:rPr>
        <w:t>公路超限运输许可</w:t>
      </w:r>
    </w:p>
    <w:p w14:paraId="6E65BAA8">
      <w:pPr>
        <w:rPr>
          <w:rFonts w:ascii="仿宋" w:hAnsi="仿宋" w:eastAsia="仿宋"/>
          <w:sz w:val="32"/>
          <w:szCs w:val="32"/>
        </w:rPr>
      </w:pPr>
      <w:r>
        <w:rPr>
          <w:rFonts w:hint="eastAsia" w:ascii="楷体" w:hAnsi="楷体" w:eastAsia="楷体"/>
          <w:b/>
          <w:sz w:val="32"/>
          <w:szCs w:val="32"/>
        </w:rPr>
        <w:t>15. 要素统一情况：</w:t>
      </w:r>
      <w:r>
        <w:rPr>
          <w:rFonts w:hint="eastAsia" w:ascii="仿宋" w:hAnsi="仿宋" w:eastAsia="仿宋"/>
          <w:sz w:val="32"/>
          <w:szCs w:val="32"/>
        </w:rPr>
        <w:t>全部要素全国统一</w:t>
      </w:r>
    </w:p>
    <w:p w14:paraId="5BE29CD1">
      <w:pPr>
        <w:rPr>
          <w:rFonts w:ascii="黑体" w:hAnsi="黑体" w:eastAsia="黑体"/>
          <w:b/>
          <w:sz w:val="32"/>
          <w:szCs w:val="32"/>
        </w:rPr>
      </w:pPr>
      <w:r>
        <w:rPr>
          <w:rFonts w:hint="eastAsia" w:ascii="黑体" w:hAnsi="黑体" w:eastAsia="黑体"/>
          <w:b/>
          <w:sz w:val="32"/>
          <w:szCs w:val="32"/>
        </w:rPr>
        <w:t>二、行政许可事项类型</w:t>
      </w:r>
    </w:p>
    <w:p w14:paraId="6B2E5F9E">
      <w:pPr>
        <w:rPr>
          <w:rFonts w:ascii="仿宋" w:hAnsi="仿宋" w:eastAsia="仿宋"/>
          <w:sz w:val="32"/>
          <w:szCs w:val="32"/>
        </w:rPr>
      </w:pPr>
      <w:r>
        <w:rPr>
          <w:rFonts w:hint="eastAsia" w:ascii="仿宋" w:hAnsi="仿宋" w:eastAsia="仿宋"/>
          <w:sz w:val="32"/>
          <w:szCs w:val="32"/>
        </w:rPr>
        <w:t>条件型</w:t>
      </w:r>
    </w:p>
    <w:p w14:paraId="62285646">
      <w:pPr>
        <w:rPr>
          <w:rFonts w:ascii="黑体" w:hAnsi="黑体" w:eastAsia="黑体"/>
          <w:b/>
          <w:sz w:val="32"/>
          <w:szCs w:val="32"/>
        </w:rPr>
      </w:pPr>
      <w:r>
        <w:rPr>
          <w:rFonts w:hint="eastAsia" w:ascii="黑体" w:hAnsi="黑体" w:eastAsia="黑体"/>
          <w:b/>
          <w:sz w:val="32"/>
          <w:szCs w:val="32"/>
        </w:rPr>
        <w:t>三、行政许可条件</w:t>
      </w:r>
    </w:p>
    <w:p w14:paraId="1212815C">
      <w:pPr>
        <w:rPr>
          <w:rFonts w:ascii="楷体" w:hAnsi="楷体" w:eastAsia="楷体"/>
          <w:b/>
          <w:sz w:val="32"/>
          <w:szCs w:val="32"/>
        </w:rPr>
      </w:pPr>
      <w:r>
        <w:rPr>
          <w:rFonts w:hint="eastAsia" w:ascii="楷体" w:hAnsi="楷体" w:eastAsia="楷体"/>
          <w:b/>
          <w:sz w:val="32"/>
          <w:szCs w:val="32"/>
        </w:rPr>
        <w:t>1. 准予行政许可的条件</w:t>
      </w:r>
    </w:p>
    <w:p w14:paraId="4B53959E">
      <w:pPr>
        <w:rPr>
          <w:rFonts w:ascii="仿宋" w:hAnsi="仿宋" w:eastAsia="仿宋"/>
          <w:sz w:val="32"/>
          <w:szCs w:val="32"/>
        </w:rPr>
      </w:pPr>
      <w:r>
        <w:rPr>
          <w:rFonts w:hint="eastAsia" w:ascii="仿宋" w:hAnsi="仿宋" w:eastAsia="仿宋"/>
          <w:sz w:val="32"/>
          <w:szCs w:val="32"/>
        </w:rPr>
        <w:t>1.运输的货物为不可解体物品；</w:t>
      </w:r>
    </w:p>
    <w:p w14:paraId="14005983">
      <w:pPr>
        <w:rPr>
          <w:rFonts w:ascii="仿宋" w:hAnsi="仿宋" w:eastAsia="仿宋"/>
          <w:sz w:val="32"/>
          <w:szCs w:val="32"/>
        </w:rPr>
      </w:pPr>
      <w:r>
        <w:rPr>
          <w:rFonts w:hint="eastAsia" w:ascii="仿宋" w:hAnsi="仿宋" w:eastAsia="仿宋"/>
          <w:sz w:val="32"/>
          <w:szCs w:val="32"/>
        </w:rPr>
        <w:t>2.承运人具有大型物件运输经营资质的道路运输经营资格；</w:t>
      </w:r>
    </w:p>
    <w:p w14:paraId="70AEDAD7">
      <w:pPr>
        <w:rPr>
          <w:rFonts w:ascii="仿宋" w:hAnsi="仿宋" w:eastAsia="仿宋"/>
          <w:sz w:val="32"/>
          <w:szCs w:val="32"/>
        </w:rPr>
      </w:pPr>
      <w:r>
        <w:rPr>
          <w:rFonts w:hint="eastAsia" w:ascii="仿宋" w:hAnsi="仿宋" w:eastAsia="仿宋"/>
          <w:sz w:val="32"/>
          <w:szCs w:val="32"/>
        </w:rPr>
        <w:t>3.承运人未被依法限制申请公路超限运输许可；</w:t>
      </w:r>
    </w:p>
    <w:p w14:paraId="36BA197B">
      <w:pPr>
        <w:rPr>
          <w:rFonts w:ascii="仿宋" w:hAnsi="仿宋" w:eastAsia="仿宋"/>
          <w:sz w:val="32"/>
          <w:szCs w:val="32"/>
        </w:rPr>
      </w:pPr>
      <w:r>
        <w:rPr>
          <w:rFonts w:hint="eastAsia" w:ascii="仿宋" w:hAnsi="仿宋" w:eastAsia="仿宋"/>
          <w:sz w:val="32"/>
          <w:szCs w:val="32"/>
        </w:rPr>
        <w:t>4.运输车辆符合要求；</w:t>
      </w:r>
    </w:p>
    <w:p w14:paraId="41B40D8C">
      <w:pPr>
        <w:rPr>
          <w:rFonts w:ascii="仿宋" w:hAnsi="仿宋" w:eastAsia="仿宋"/>
          <w:sz w:val="32"/>
          <w:szCs w:val="32"/>
        </w:rPr>
      </w:pPr>
      <w:r>
        <w:rPr>
          <w:rFonts w:hint="eastAsia" w:ascii="仿宋" w:hAnsi="仿宋" w:eastAsia="仿宋"/>
          <w:sz w:val="32"/>
          <w:szCs w:val="32"/>
        </w:rPr>
        <w:t>5.需要采取加固、改造措施的，应当按照规定要求采取有效的加固、改造措施，确保许可线路超限运输车辆安全通行。</w:t>
      </w:r>
    </w:p>
    <w:p w14:paraId="61B6E66A">
      <w:pPr>
        <w:rPr>
          <w:rFonts w:ascii="仿宋" w:hAnsi="仿宋" w:eastAsia="仿宋"/>
          <w:sz w:val="32"/>
          <w:szCs w:val="32"/>
        </w:rPr>
      </w:pPr>
      <w:r>
        <w:rPr>
          <w:rFonts w:hint="eastAsia" w:ascii="仿宋" w:hAnsi="仿宋" w:eastAsia="仿宋"/>
          <w:sz w:val="32"/>
          <w:szCs w:val="32"/>
        </w:rPr>
        <w:t>6.车货总高度从地面算起超过 4.5 米，或者总宽度超过 3.75 米，或者总长度超过 28 米，或者总质量超过 100000 千克，以及其他可能严重影响公路完好、安全、畅通情形的，需要记录载货时车货总体外廓尺寸信息的轮廓图并做护送方案。</w:t>
      </w:r>
    </w:p>
    <w:p w14:paraId="1BF3F50D">
      <w:pPr>
        <w:rPr>
          <w:rFonts w:ascii="楷体" w:hAnsi="楷体" w:eastAsia="楷体"/>
          <w:b/>
          <w:sz w:val="32"/>
          <w:szCs w:val="32"/>
        </w:rPr>
      </w:pPr>
      <w:r>
        <w:rPr>
          <w:rFonts w:hint="eastAsia" w:ascii="楷体" w:hAnsi="楷体" w:eastAsia="楷体"/>
          <w:b/>
          <w:sz w:val="32"/>
          <w:szCs w:val="32"/>
        </w:rPr>
        <w:t>2. 规定行政许可条件的依据</w:t>
      </w:r>
    </w:p>
    <w:p w14:paraId="40F792B6">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号）第三条 本规定所称超限运输车辆，是指有下列情形之一的货物运输车辆：（一）车货总高度从地面算起超过 4 米；（二）车货总宽度超过 2.55 米；（三）车货总长度超过 18.1 米；（四）二轴货车，其车货总质量超过 18000 千克；（五）三轴货车，其车货总质量超过 25000 千克；三轴汽车列车，其车货总质量超过 27000 千克；（六）四轴货车，其车货总质量超过 31000 千克；四轴汽车列车，其车货总质量超过 36000 千克；（七）五轴汽车列车，其车货总质量超过 43000 千克；（八）六轴及六轴以上汽车列车，其车货总质量超过49000 千克,其中牵引车驱动轴为单轴的，其车货总质量超过 46000千克。</w:t>
      </w:r>
    </w:p>
    <w:p w14:paraId="7DDE6BC6">
      <w:pPr>
        <w:rPr>
          <w:rFonts w:ascii="仿宋" w:hAnsi="仿宋" w:eastAsia="仿宋"/>
          <w:sz w:val="32"/>
          <w:szCs w:val="32"/>
        </w:rPr>
      </w:pPr>
      <w:r>
        <w:rPr>
          <w:rFonts w:hint="eastAsia" w:ascii="仿宋" w:hAnsi="仿宋" w:eastAsia="仿宋"/>
          <w:sz w:val="32"/>
          <w:szCs w:val="32"/>
        </w:rPr>
        <w:t>前款规定的限定标准的认定，还应当遵守下列要求:（一）二轴组按照二个轴计算，三轴组按照三个轴计算；（二）除驱动轴外，二轴组、三轴组以及半挂车和全挂车的车轴每侧轮胎按照双轮胎计算，若每轴每侧轮胎为单轮胎，限定标准减少 3000 千克，但安装符合国家有关标准的加宽轮胎的除外；（三）车辆最大允许总质量不应超过各车轴最大允许轴荷之和；（四）拖拉机、农用车、低速货车，以行驶证核定的总质量为限定标准；（五）符合《汽车、挂车及汽车列车</w:t>
      </w:r>
    </w:p>
    <w:p w14:paraId="4E70FA89">
      <w:pPr>
        <w:rPr>
          <w:rFonts w:ascii="仿宋" w:hAnsi="仿宋" w:eastAsia="仿宋"/>
          <w:sz w:val="32"/>
          <w:szCs w:val="32"/>
        </w:rPr>
      </w:pPr>
      <w:r>
        <w:rPr>
          <w:rFonts w:hint="eastAsia" w:ascii="仿宋" w:hAnsi="仿宋" w:eastAsia="仿宋"/>
          <w:sz w:val="32"/>
          <w:szCs w:val="32"/>
        </w:rPr>
        <w:t>外廓尺寸、轴荷及质量限值》（GB1589）规定的冷藏车、汽车列车、安装空气悬架的车辆，以及专用作业车，不认定为超限运输车辆。</w:t>
      </w:r>
    </w:p>
    <w:p w14:paraId="6C6FF277">
      <w:pPr>
        <w:rPr>
          <w:rFonts w:ascii="仿宋" w:hAnsi="仿宋" w:eastAsia="仿宋"/>
          <w:sz w:val="32"/>
          <w:szCs w:val="32"/>
        </w:rPr>
      </w:pPr>
      <w:r>
        <w:rPr>
          <w:rFonts w:hint="eastAsia" w:ascii="仿宋" w:hAnsi="仿宋" w:eastAsia="仿宋"/>
          <w:sz w:val="32"/>
          <w:szCs w:val="32"/>
        </w:rPr>
        <w:t>第七条 大件运输的托运人应当委托具有大型物件运输经营资质的道路运输经营者承运，并在运单上如实填写托运货物的名称、规格、重量等相关信息。</w:t>
      </w:r>
    </w:p>
    <w:p w14:paraId="6310A216">
      <w:pPr>
        <w:rPr>
          <w:rFonts w:ascii="仿宋" w:hAnsi="仿宋" w:eastAsia="仿宋"/>
          <w:sz w:val="32"/>
          <w:szCs w:val="32"/>
        </w:rPr>
      </w:pPr>
      <w:r>
        <w:rPr>
          <w:rFonts w:hint="eastAsia" w:ascii="仿宋" w:hAnsi="仿宋" w:eastAsia="仿宋"/>
          <w:sz w:val="32"/>
          <w:szCs w:val="32"/>
        </w:rPr>
        <w:t>第十条 申请公路超限运输许可的，承运人应当提交下列材料：</w:t>
      </w:r>
    </w:p>
    <w:p w14:paraId="0515BB11">
      <w:pPr>
        <w:rPr>
          <w:rFonts w:ascii="仿宋" w:hAnsi="仿宋" w:eastAsia="仿宋"/>
          <w:sz w:val="32"/>
          <w:szCs w:val="32"/>
        </w:rPr>
      </w:pPr>
      <w:r>
        <w:rPr>
          <w:rFonts w:hint="eastAsia" w:ascii="仿宋" w:hAnsi="仿宋" w:eastAsia="仿宋"/>
          <w:sz w:val="32"/>
          <w:szCs w:val="32"/>
        </w:rPr>
        <w:t>（一）公路超限运输申请表，主要内容包括货物的名称、外廓尺寸和质量，车辆的厂牌型号、整备质量、轴数、轴距和轮胎数，载货时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总体的外廓尺寸、总质量、各车轴轴荷，拟运输的起讫点、通行路线和行驶时间；</w:t>
      </w:r>
    </w:p>
    <w:p w14:paraId="67EC45FF">
      <w:pPr>
        <w:rPr>
          <w:rFonts w:ascii="仿宋" w:hAnsi="仿宋" w:eastAsia="仿宋"/>
          <w:sz w:val="32"/>
          <w:szCs w:val="32"/>
        </w:rPr>
      </w:pPr>
      <w:r>
        <w:rPr>
          <w:rFonts w:hint="eastAsia" w:ascii="仿宋" w:hAnsi="仿宋" w:eastAsia="仿宋"/>
          <w:sz w:val="32"/>
          <w:szCs w:val="32"/>
        </w:rPr>
        <w:t>（二）承运人的道路运输经营许可证，经办人的身份证件和授权委托书；</w:t>
      </w:r>
    </w:p>
    <w:p w14:paraId="37022B9D">
      <w:pPr>
        <w:rPr>
          <w:rFonts w:ascii="仿宋" w:hAnsi="仿宋" w:eastAsia="仿宋"/>
          <w:sz w:val="32"/>
          <w:szCs w:val="32"/>
        </w:rPr>
      </w:pPr>
      <w:r>
        <w:rPr>
          <w:rFonts w:hint="eastAsia" w:ascii="仿宋" w:hAnsi="仿宋" w:eastAsia="仿宋"/>
          <w:sz w:val="32"/>
          <w:szCs w:val="32"/>
        </w:rPr>
        <w:t>（三）车辆行驶证或者临时行驶车号牌。</w:t>
      </w:r>
    </w:p>
    <w:p w14:paraId="0AB5365D">
      <w:pPr>
        <w:rPr>
          <w:rFonts w:ascii="仿宋" w:hAnsi="仿宋" w:eastAsia="仿宋"/>
          <w:sz w:val="32"/>
          <w:szCs w:val="32"/>
        </w:rPr>
      </w:pPr>
      <w:r>
        <w:rPr>
          <w:rFonts w:hint="eastAsia" w:ascii="仿宋" w:hAnsi="仿宋" w:eastAsia="仿宋"/>
          <w:sz w:val="32"/>
          <w:szCs w:val="32"/>
        </w:rPr>
        <w:t>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护送方案应当包含护送车辆配置方案、护送人员配备方案、护送路线情况说明、护送操作细则、异常情况处理等相关内容。</w:t>
      </w:r>
    </w:p>
    <w:p w14:paraId="44FD9A45">
      <w:pPr>
        <w:rPr>
          <w:rFonts w:ascii="仿宋" w:hAnsi="仿宋" w:eastAsia="仿宋"/>
          <w:sz w:val="32"/>
          <w:szCs w:val="32"/>
        </w:rPr>
      </w:pPr>
      <w:r>
        <w:rPr>
          <w:rFonts w:hint="eastAsia" w:ascii="仿宋" w:hAnsi="仿宋" w:eastAsia="仿宋"/>
          <w:sz w:val="32"/>
          <w:szCs w:val="32"/>
        </w:rPr>
        <w:t>第十一条 承运人提出的公路超限运输许可申请有下列情形之一的，公路管理机构不予受理：</w:t>
      </w:r>
    </w:p>
    <w:p w14:paraId="4BBEBC9E">
      <w:pPr>
        <w:rPr>
          <w:rFonts w:ascii="仿宋" w:hAnsi="仿宋" w:eastAsia="仿宋"/>
          <w:sz w:val="32"/>
          <w:szCs w:val="32"/>
        </w:rPr>
      </w:pPr>
      <w:r>
        <w:rPr>
          <w:rFonts w:hint="eastAsia" w:ascii="仿宋" w:hAnsi="仿宋" w:eastAsia="仿宋"/>
          <w:sz w:val="32"/>
          <w:szCs w:val="32"/>
        </w:rPr>
        <w:t>（一）货物属于可分载物品的；</w:t>
      </w:r>
    </w:p>
    <w:p w14:paraId="43FD0414">
      <w:pPr>
        <w:rPr>
          <w:rFonts w:ascii="仿宋" w:hAnsi="仿宋" w:eastAsia="仿宋"/>
          <w:sz w:val="32"/>
          <w:szCs w:val="32"/>
        </w:rPr>
      </w:pPr>
      <w:r>
        <w:rPr>
          <w:rFonts w:hint="eastAsia" w:ascii="仿宋" w:hAnsi="仿宋" w:eastAsia="仿宋"/>
          <w:sz w:val="32"/>
          <w:szCs w:val="32"/>
        </w:rPr>
        <w:t>（二）承运人所持有的道路运输经营许可证记载的经营资质不包括大件运输的；</w:t>
      </w:r>
    </w:p>
    <w:p w14:paraId="266FE46E">
      <w:pPr>
        <w:rPr>
          <w:rFonts w:ascii="仿宋" w:hAnsi="仿宋" w:eastAsia="仿宋"/>
          <w:sz w:val="32"/>
          <w:szCs w:val="32"/>
        </w:rPr>
      </w:pPr>
      <w:r>
        <w:rPr>
          <w:rFonts w:hint="eastAsia" w:ascii="仿宋" w:hAnsi="仿宋" w:eastAsia="仿宋"/>
          <w:sz w:val="32"/>
          <w:szCs w:val="32"/>
        </w:rPr>
        <w:t>（三）承运人被依法限制申请公路超限运输许可未满限制期限的；</w:t>
      </w:r>
    </w:p>
    <w:p w14:paraId="12E9A950">
      <w:pPr>
        <w:rPr>
          <w:rFonts w:ascii="仿宋" w:hAnsi="仿宋" w:eastAsia="仿宋"/>
          <w:sz w:val="32"/>
          <w:szCs w:val="32"/>
        </w:rPr>
      </w:pPr>
      <w:r>
        <w:rPr>
          <w:rFonts w:hint="eastAsia" w:ascii="仿宋" w:hAnsi="仿宋" w:eastAsia="仿宋"/>
          <w:sz w:val="32"/>
          <w:szCs w:val="32"/>
        </w:rPr>
        <w:t>（四）法律、行政法规规定的其他情形。</w:t>
      </w:r>
    </w:p>
    <w:p w14:paraId="60DC67D5">
      <w:pPr>
        <w:rPr>
          <w:rFonts w:ascii="仿宋" w:hAnsi="仿宋" w:eastAsia="仿宋"/>
          <w:sz w:val="32"/>
          <w:szCs w:val="32"/>
        </w:rPr>
      </w:pPr>
      <w:r>
        <w:rPr>
          <w:rFonts w:hint="eastAsia" w:ascii="仿宋" w:hAnsi="仿宋" w:eastAsia="仿宋"/>
          <w:sz w:val="32"/>
          <w:szCs w:val="32"/>
        </w:rPr>
        <w:t>载运单个不可解体物品的大件运输车辆，在不改变原超限情形的前提下，加装多个品种相同的不可解体物品的，视为载运不可解体物品。</w:t>
      </w:r>
    </w:p>
    <w:p w14:paraId="667458F2">
      <w:pPr>
        <w:rPr>
          <w:rFonts w:ascii="仿宋" w:hAnsi="仿宋" w:eastAsia="仿宋"/>
          <w:sz w:val="32"/>
          <w:szCs w:val="32"/>
        </w:rPr>
      </w:pPr>
      <w:r>
        <w:rPr>
          <w:rFonts w:hint="eastAsia" w:ascii="仿宋" w:hAnsi="仿宋" w:eastAsia="仿宋"/>
          <w:sz w:val="32"/>
          <w:szCs w:val="32"/>
        </w:rPr>
        <w:t>第十二条 公路管理机构受理公路超限运输许可申请后，应当对承运人提交的申请材料进行审查。属于第十条第二款规定情形的，公路管理机构应当对</w:t>
      </w:r>
      <w:r>
        <w:rPr>
          <w:rFonts w:hint="eastAsia" w:ascii="仿宋" w:hAnsi="仿宋" w:eastAsia="仿宋"/>
          <w:sz w:val="32"/>
          <w:szCs w:val="32"/>
          <w:lang w:eastAsia="zh-CN"/>
        </w:rPr>
        <w:t>货车</w:t>
      </w:r>
      <w:r>
        <w:rPr>
          <w:rFonts w:hint="eastAsia" w:ascii="仿宋" w:hAnsi="仿宋" w:eastAsia="仿宋"/>
          <w:sz w:val="32"/>
          <w:szCs w:val="32"/>
        </w:rPr>
        <w:t>总体外廓尺寸、总质量、轴荷等数据和护送方案进行核查，并征求同级公安机关交通管理部门意见。属于统一受理、集中办理跨省、自治区、直辖市进行运输的，由起运地省级公路管理机构负责审查。</w:t>
      </w:r>
    </w:p>
    <w:p w14:paraId="5E303006">
      <w:pPr>
        <w:rPr>
          <w:rFonts w:ascii="仿宋" w:hAnsi="仿宋" w:eastAsia="仿宋"/>
          <w:sz w:val="32"/>
          <w:szCs w:val="32"/>
        </w:rPr>
      </w:pPr>
      <w:r>
        <w:rPr>
          <w:rFonts w:hint="eastAsia" w:ascii="仿宋" w:hAnsi="仿宋" w:eastAsia="仿宋"/>
          <w:sz w:val="32"/>
          <w:szCs w:val="32"/>
        </w:rPr>
        <w:t>第十三条 公路管理机构审批公路超限运输申请，应当根据实际情况组织人员勘测通行路线。需要采取加固、改造措施的，承运人应当按照规定要求采取有效的加固、改造措施。公路管理机构应当对承运人提出的加固、改造措施方案进行审查，并组织验收。承运人不具备加固、改造措施的条件和能力的，可以通过签订协议的方式，委托公路管理机构制定相应的加固、改造方案，由公路管理机构进行加固、改造，或者由公路管理机构通过市场化方式选择具有相应资质的单位进行加固、改造。采取加固、改造措施所需的费用由承运人承担。相关收费标准应当公开、透明。</w:t>
      </w:r>
    </w:p>
    <w:p w14:paraId="4B2B6253">
      <w:pPr>
        <w:rPr>
          <w:rFonts w:ascii="仿宋" w:hAnsi="仿宋" w:eastAsia="仿宋"/>
          <w:sz w:val="32"/>
          <w:szCs w:val="32"/>
        </w:rPr>
      </w:pPr>
      <w:r>
        <w:rPr>
          <w:rFonts w:hint="eastAsia" w:ascii="仿宋" w:hAnsi="仿宋" w:eastAsia="仿宋"/>
          <w:sz w:val="32"/>
          <w:szCs w:val="32"/>
        </w:rPr>
        <w:t>第十七条 有下列情形之一的，公路管理机构应当依法作出不予行政许可的决定:</w:t>
      </w:r>
    </w:p>
    <w:p w14:paraId="72EAA891">
      <w:pPr>
        <w:rPr>
          <w:rFonts w:ascii="仿宋" w:hAnsi="仿宋" w:eastAsia="仿宋"/>
          <w:sz w:val="32"/>
          <w:szCs w:val="32"/>
        </w:rPr>
      </w:pPr>
      <w:r>
        <w:rPr>
          <w:rFonts w:hint="eastAsia" w:ascii="仿宋" w:hAnsi="仿宋" w:eastAsia="仿宋"/>
          <w:sz w:val="32"/>
          <w:szCs w:val="32"/>
        </w:rPr>
        <w:t>（一）采用普通平板车运输，车辆单轴的平均轴荷超过 10000 千克或者最大轴荷超过 13000 千克的；</w:t>
      </w:r>
    </w:p>
    <w:p w14:paraId="556F8156">
      <w:pPr>
        <w:rPr>
          <w:rFonts w:ascii="仿宋" w:hAnsi="仿宋" w:eastAsia="仿宋"/>
          <w:sz w:val="32"/>
          <w:szCs w:val="32"/>
        </w:rPr>
      </w:pPr>
      <w:r>
        <w:rPr>
          <w:rFonts w:hint="eastAsia" w:ascii="仿宋" w:hAnsi="仿宋" w:eastAsia="仿宋"/>
          <w:sz w:val="32"/>
          <w:szCs w:val="32"/>
        </w:rPr>
        <w:t>（二）采用多轴多轮液压平板车运输，车辆每轴线（一线两轴 8轮胎）的平均轴荷超过 18000 千克或者最大轴荷超过 20000 千克的；</w:t>
      </w:r>
    </w:p>
    <w:p w14:paraId="3E3EA473">
      <w:pPr>
        <w:rPr>
          <w:rFonts w:ascii="仿宋" w:hAnsi="仿宋" w:eastAsia="仿宋"/>
          <w:sz w:val="32"/>
          <w:szCs w:val="32"/>
        </w:rPr>
      </w:pPr>
      <w:r>
        <w:rPr>
          <w:rFonts w:hint="eastAsia" w:ascii="仿宋" w:hAnsi="仿宋" w:eastAsia="仿宋"/>
          <w:sz w:val="32"/>
          <w:szCs w:val="32"/>
        </w:rPr>
        <w:t>（三）承运人不履行加固、改造义务的；</w:t>
      </w:r>
    </w:p>
    <w:p w14:paraId="0A0A2AB2">
      <w:pPr>
        <w:rPr>
          <w:rFonts w:ascii="仿宋" w:hAnsi="仿宋" w:eastAsia="仿宋"/>
          <w:sz w:val="32"/>
          <w:szCs w:val="32"/>
        </w:rPr>
      </w:pPr>
      <w:r>
        <w:rPr>
          <w:rFonts w:hint="eastAsia" w:ascii="仿宋" w:hAnsi="仿宋" w:eastAsia="仿宋"/>
          <w:sz w:val="32"/>
          <w:szCs w:val="32"/>
        </w:rPr>
        <w:t>（四）法律、行政法规规定的其他情形。</w:t>
      </w:r>
    </w:p>
    <w:p w14:paraId="4C31AEE2">
      <w:pPr>
        <w:rPr>
          <w:rFonts w:ascii="黑体" w:hAnsi="黑体" w:eastAsia="黑体"/>
          <w:b/>
          <w:sz w:val="32"/>
          <w:szCs w:val="32"/>
        </w:rPr>
      </w:pPr>
      <w:r>
        <w:rPr>
          <w:rFonts w:hint="eastAsia" w:ascii="黑体" w:hAnsi="黑体" w:eastAsia="黑体"/>
          <w:b/>
          <w:sz w:val="32"/>
          <w:szCs w:val="32"/>
        </w:rPr>
        <w:t>四、行政许可服务对象类型与改革举措</w:t>
      </w:r>
    </w:p>
    <w:p w14:paraId="37A420E4">
      <w:pPr>
        <w:rPr>
          <w:rFonts w:ascii="仿宋" w:hAnsi="仿宋" w:eastAsia="仿宋"/>
          <w:sz w:val="32"/>
          <w:szCs w:val="32"/>
        </w:rPr>
      </w:pPr>
      <w:r>
        <w:rPr>
          <w:rFonts w:hint="eastAsia" w:ascii="楷体" w:hAnsi="楷体" w:eastAsia="楷体"/>
          <w:b/>
          <w:sz w:val="32"/>
          <w:szCs w:val="32"/>
        </w:rPr>
        <w:t>1. 服务对象类型：</w:t>
      </w:r>
      <w:r>
        <w:rPr>
          <w:rFonts w:hint="eastAsia" w:ascii="仿宋" w:hAnsi="仿宋" w:eastAsia="仿宋"/>
          <w:sz w:val="32"/>
          <w:szCs w:val="32"/>
        </w:rPr>
        <w:t>企业法人、自然人</w:t>
      </w:r>
    </w:p>
    <w:p w14:paraId="22FF0F51">
      <w:pPr>
        <w:rPr>
          <w:rFonts w:ascii="仿宋" w:hAnsi="仿宋" w:eastAsia="仿宋"/>
          <w:sz w:val="32"/>
          <w:szCs w:val="32"/>
        </w:rPr>
      </w:pPr>
      <w:r>
        <w:rPr>
          <w:rFonts w:hint="eastAsia" w:ascii="楷体" w:hAnsi="楷体" w:eastAsia="楷体"/>
          <w:b/>
          <w:sz w:val="32"/>
          <w:szCs w:val="32"/>
        </w:rPr>
        <w:t>2. 是否为涉企许可事项：</w:t>
      </w:r>
      <w:r>
        <w:rPr>
          <w:rFonts w:hint="eastAsia" w:ascii="仿宋" w:hAnsi="仿宋" w:eastAsia="仿宋"/>
          <w:sz w:val="32"/>
          <w:szCs w:val="32"/>
        </w:rPr>
        <w:t>否</w:t>
      </w:r>
    </w:p>
    <w:p w14:paraId="427C6B7A">
      <w:pPr>
        <w:rPr>
          <w:rFonts w:ascii="仿宋" w:hAnsi="仿宋" w:eastAsia="仿宋"/>
          <w:sz w:val="32"/>
          <w:szCs w:val="32"/>
        </w:rPr>
      </w:pPr>
      <w:r>
        <w:rPr>
          <w:rFonts w:hint="eastAsia" w:ascii="楷体" w:hAnsi="楷体" w:eastAsia="楷体"/>
          <w:b/>
          <w:sz w:val="32"/>
          <w:szCs w:val="32"/>
        </w:rPr>
        <w:t>3. 涉企经营许可事项名称：</w:t>
      </w:r>
      <w:r>
        <w:rPr>
          <w:rFonts w:hint="eastAsia" w:ascii="仿宋" w:hAnsi="仿宋" w:eastAsia="仿宋"/>
          <w:sz w:val="32"/>
          <w:szCs w:val="32"/>
        </w:rPr>
        <w:t>无</w:t>
      </w:r>
    </w:p>
    <w:p w14:paraId="04DB0A54">
      <w:pPr>
        <w:rPr>
          <w:rFonts w:ascii="仿宋" w:hAnsi="仿宋" w:eastAsia="仿宋"/>
          <w:sz w:val="32"/>
          <w:szCs w:val="32"/>
        </w:rPr>
      </w:pPr>
      <w:r>
        <w:rPr>
          <w:rFonts w:hint="eastAsia" w:ascii="楷体" w:hAnsi="楷体" w:eastAsia="楷体"/>
          <w:b/>
          <w:sz w:val="32"/>
          <w:szCs w:val="32"/>
        </w:rPr>
        <w:t>4. 许可证件名称：</w:t>
      </w:r>
      <w:r>
        <w:rPr>
          <w:rFonts w:hint="eastAsia" w:ascii="仿宋" w:hAnsi="仿宋" w:eastAsia="仿宋"/>
          <w:sz w:val="32"/>
          <w:szCs w:val="32"/>
        </w:rPr>
        <w:t>无</w:t>
      </w:r>
    </w:p>
    <w:p w14:paraId="342CB501">
      <w:pPr>
        <w:rPr>
          <w:rFonts w:ascii="仿宋" w:hAnsi="仿宋" w:eastAsia="仿宋"/>
          <w:sz w:val="32"/>
          <w:szCs w:val="32"/>
        </w:rPr>
      </w:pPr>
      <w:r>
        <w:rPr>
          <w:rFonts w:hint="eastAsia" w:ascii="楷体" w:hAnsi="楷体" w:eastAsia="楷体"/>
          <w:b/>
          <w:sz w:val="32"/>
          <w:szCs w:val="32"/>
        </w:rPr>
        <w:t>5. 改革方式：</w:t>
      </w:r>
      <w:r>
        <w:rPr>
          <w:rFonts w:hint="eastAsia" w:ascii="仿宋" w:hAnsi="仿宋" w:eastAsia="仿宋"/>
          <w:sz w:val="32"/>
          <w:szCs w:val="32"/>
        </w:rPr>
        <w:t>无</w:t>
      </w:r>
    </w:p>
    <w:p w14:paraId="2BBF2199">
      <w:pPr>
        <w:rPr>
          <w:rFonts w:ascii="楷体" w:hAnsi="楷体" w:eastAsia="楷体"/>
          <w:b/>
          <w:sz w:val="32"/>
          <w:szCs w:val="32"/>
        </w:rPr>
      </w:pPr>
      <w:r>
        <w:rPr>
          <w:rFonts w:hint="eastAsia" w:ascii="楷体" w:hAnsi="楷体" w:eastAsia="楷体"/>
          <w:b/>
          <w:sz w:val="32"/>
          <w:szCs w:val="32"/>
        </w:rPr>
        <w:t>6. 具体改革举措</w:t>
      </w:r>
    </w:p>
    <w:p w14:paraId="0BAD785E">
      <w:pPr>
        <w:rPr>
          <w:rFonts w:ascii="仿宋" w:hAnsi="仿宋" w:eastAsia="仿宋"/>
          <w:sz w:val="32"/>
          <w:szCs w:val="32"/>
        </w:rPr>
      </w:pPr>
      <w:r>
        <w:rPr>
          <w:rFonts w:hint="eastAsia" w:ascii="仿宋" w:hAnsi="仿宋" w:eastAsia="仿宋"/>
          <w:sz w:val="32"/>
          <w:szCs w:val="32"/>
        </w:rPr>
        <w:t>（1）为贯彻落实国务院关于深化“放管服”改革、优化营商环境的决策部署，2017 年，交通运输部将跨省大件运输并联许可全国联网列入交通运输更贴近民生实事，2017 年 9 月 30 日，跨省大件运输并联许可系统（以下简称“跨省系统”）完成全国联网，实现了起运地省份统一受理、沿线省份限时并联审批，一地办证、全线通行的巨大变革。2019 年 8 月，我们对跨省系统进行了升级改造，解决了省内许可与跨省许可服务标准不一致的问题。（2）将承诺审批时限</w:t>
      </w:r>
    </w:p>
    <w:p w14:paraId="14BF6544">
      <w:pPr>
        <w:rPr>
          <w:rFonts w:ascii="仿宋" w:hAnsi="仿宋" w:eastAsia="仿宋"/>
          <w:sz w:val="32"/>
          <w:szCs w:val="32"/>
        </w:rPr>
      </w:pPr>
      <w:r>
        <w:rPr>
          <w:rFonts w:hint="eastAsia" w:ascii="仿宋" w:hAnsi="仿宋" w:eastAsia="仿宋"/>
          <w:sz w:val="32"/>
          <w:szCs w:val="32"/>
        </w:rPr>
        <w:t>由 20 个工作日压减至 6 个工作日。</w:t>
      </w:r>
    </w:p>
    <w:p w14:paraId="17CDFF2C">
      <w:pPr>
        <w:rPr>
          <w:rFonts w:ascii="楷体" w:hAnsi="楷体" w:eastAsia="楷体"/>
          <w:b/>
          <w:sz w:val="32"/>
          <w:szCs w:val="32"/>
        </w:rPr>
      </w:pPr>
      <w:r>
        <w:rPr>
          <w:rFonts w:hint="eastAsia" w:ascii="楷体" w:hAnsi="楷体" w:eastAsia="楷体"/>
          <w:b/>
          <w:sz w:val="32"/>
          <w:szCs w:val="32"/>
        </w:rPr>
        <w:t>7. 加强事中事后监管措施</w:t>
      </w:r>
    </w:p>
    <w:p w14:paraId="52350A0D">
      <w:pPr>
        <w:rPr>
          <w:rFonts w:ascii="仿宋" w:hAnsi="仿宋" w:eastAsia="仿宋"/>
          <w:sz w:val="32"/>
          <w:szCs w:val="32"/>
        </w:rPr>
      </w:pPr>
      <w:r>
        <w:rPr>
          <w:rFonts w:hint="eastAsia" w:ascii="仿宋" w:hAnsi="仿宋" w:eastAsia="仿宋"/>
          <w:sz w:val="32"/>
          <w:szCs w:val="32"/>
        </w:rPr>
        <w:t>1.强化许可服务，全面推行分类许可，提高许可服务效率，定期组织开展业务培训，提高工作人员专业素养和业务能力。</w:t>
      </w:r>
    </w:p>
    <w:p w14:paraId="25B9DA64">
      <w:pPr>
        <w:rPr>
          <w:rFonts w:ascii="仿宋" w:hAnsi="仿宋" w:eastAsia="仿宋"/>
          <w:sz w:val="32"/>
          <w:szCs w:val="32"/>
        </w:rPr>
      </w:pPr>
      <w:r>
        <w:rPr>
          <w:rFonts w:hint="eastAsia" w:ascii="仿宋" w:hAnsi="仿宋" w:eastAsia="仿宋"/>
          <w:sz w:val="32"/>
          <w:szCs w:val="32"/>
        </w:rPr>
        <w:t>2.压实大件运输安全生产责任，引导大件运输重点货运源头单位安装称重检测及视频监控等设备，并联网运行，对出场（站）车辆进行检测，坚决杜绝未经许可或车证不符的大件运输车辆上路行驶。</w:t>
      </w:r>
    </w:p>
    <w:p w14:paraId="3DDC0253">
      <w:pPr>
        <w:rPr>
          <w:rFonts w:ascii="仿宋" w:hAnsi="仿宋" w:eastAsia="仿宋"/>
          <w:sz w:val="32"/>
          <w:szCs w:val="32"/>
        </w:rPr>
      </w:pPr>
      <w:r>
        <w:rPr>
          <w:rFonts w:hint="eastAsia" w:ascii="仿宋" w:hAnsi="仿宋" w:eastAsia="仿宋"/>
          <w:sz w:val="32"/>
          <w:szCs w:val="32"/>
        </w:rPr>
        <w:t>3.加强现场核查，严格落实有关规定要求，对可能影响公路完好、安全、畅通情形的，要加大抽查力度；对申请的</w:t>
      </w:r>
      <w:r>
        <w:rPr>
          <w:rFonts w:hint="eastAsia" w:ascii="仿宋" w:hAnsi="仿宋" w:eastAsia="仿宋"/>
          <w:sz w:val="32"/>
          <w:szCs w:val="32"/>
          <w:lang w:eastAsia="zh-CN"/>
        </w:rPr>
        <w:t>货车</w:t>
      </w:r>
      <w:r>
        <w:rPr>
          <w:rFonts w:hint="eastAsia" w:ascii="仿宋" w:hAnsi="仿宋" w:eastAsia="仿宋"/>
          <w:sz w:val="32"/>
          <w:szCs w:val="32"/>
        </w:rPr>
        <w:t>总质量或外廓尺寸接近跨类临界值的，要重点抽查，对核查或抽查中发现与申请不符的，按隐瞒有关情况或者提供虚假材料申请许可，予以严肃处理。</w:t>
      </w:r>
    </w:p>
    <w:p w14:paraId="734E1106">
      <w:pPr>
        <w:rPr>
          <w:rFonts w:ascii="仿宋" w:hAnsi="仿宋" w:eastAsia="仿宋"/>
          <w:sz w:val="32"/>
          <w:szCs w:val="32"/>
        </w:rPr>
      </w:pPr>
      <w:r>
        <w:rPr>
          <w:rFonts w:hint="eastAsia" w:ascii="仿宋" w:hAnsi="仿宋" w:eastAsia="仿宋"/>
          <w:sz w:val="32"/>
          <w:szCs w:val="32"/>
        </w:rPr>
        <w:t>4.强化大件运输车辆动态监管，指导执法机构利用北斗定位、ETC门架信息等数据，及时发现企业不按许可路线行驶问题；加强途中检查，发现违法情形的，依法严肃查处；建立跨省联动监管机制，解决区域间信息不共享、出现问题相互推诿的问题；加强高速公路检测条件建设，在大件运输通道所在收费站，设置超宽车道，改造称重检测设备，解决超宽大件运输车辆上不去、超重大件运输车辆称不出来的问题；加强高速公路通行检测，坚决禁止违法大件运输车辆驶入高速</w:t>
      </w:r>
    </w:p>
    <w:p w14:paraId="589F7E97">
      <w:pPr>
        <w:rPr>
          <w:rFonts w:ascii="仿宋" w:hAnsi="仿宋" w:eastAsia="仿宋"/>
          <w:sz w:val="32"/>
          <w:szCs w:val="32"/>
        </w:rPr>
      </w:pPr>
      <w:r>
        <w:rPr>
          <w:rFonts w:hint="eastAsia" w:ascii="仿宋" w:hAnsi="仿宋" w:eastAsia="仿宋"/>
          <w:sz w:val="32"/>
          <w:szCs w:val="32"/>
        </w:rPr>
        <w:t>公路。</w:t>
      </w:r>
    </w:p>
    <w:p w14:paraId="52B0F508">
      <w:pPr>
        <w:rPr>
          <w:rFonts w:ascii="仿宋" w:hAnsi="仿宋" w:eastAsia="仿宋"/>
          <w:sz w:val="32"/>
          <w:szCs w:val="32"/>
        </w:rPr>
      </w:pPr>
      <w:r>
        <w:rPr>
          <w:rFonts w:hint="eastAsia" w:ascii="仿宋" w:hAnsi="仿宋" w:eastAsia="仿宋"/>
          <w:sz w:val="32"/>
          <w:szCs w:val="32"/>
        </w:rPr>
        <w:t>5.严格大件运输通行数据分析比对，利用现有大数据资源，开展大件运输车辆行驶轨迹分析比对，提高虚假填报、“大车小证”、不按许可路线行驶等违法情形的发现能力。探索企业信用风险分类管理，建立大件运输企业信用积分规则，对大件运输企业办证、运输等情况进行信用评价，提高企业失信违法成本，引导诚信办证、规范运输。</w:t>
      </w:r>
    </w:p>
    <w:p w14:paraId="293523C6">
      <w:pPr>
        <w:rPr>
          <w:rFonts w:ascii="黑体" w:hAnsi="黑体" w:eastAsia="黑体"/>
          <w:b/>
          <w:sz w:val="32"/>
          <w:szCs w:val="32"/>
        </w:rPr>
      </w:pPr>
      <w:r>
        <w:rPr>
          <w:rFonts w:hint="eastAsia" w:ascii="黑体" w:hAnsi="黑体" w:eastAsia="黑体"/>
          <w:b/>
          <w:sz w:val="32"/>
          <w:szCs w:val="32"/>
        </w:rPr>
        <w:t>五、申请材料</w:t>
      </w:r>
    </w:p>
    <w:p w14:paraId="53C99E0C">
      <w:pPr>
        <w:rPr>
          <w:rFonts w:ascii="楷体" w:hAnsi="楷体" w:eastAsia="楷体"/>
          <w:b/>
          <w:sz w:val="32"/>
          <w:szCs w:val="32"/>
        </w:rPr>
      </w:pPr>
      <w:r>
        <w:rPr>
          <w:rFonts w:hint="eastAsia" w:ascii="楷体" w:hAnsi="楷体" w:eastAsia="楷体"/>
          <w:b/>
          <w:sz w:val="32"/>
          <w:szCs w:val="32"/>
        </w:rPr>
        <w:t>1. 申请材料名称</w:t>
      </w:r>
    </w:p>
    <w:p w14:paraId="5584CBD4">
      <w:pPr>
        <w:rPr>
          <w:rFonts w:ascii="仿宋" w:hAnsi="仿宋" w:eastAsia="仿宋"/>
          <w:sz w:val="32"/>
          <w:szCs w:val="32"/>
        </w:rPr>
      </w:pPr>
      <w:r>
        <w:rPr>
          <w:rFonts w:hint="eastAsia" w:ascii="仿宋" w:hAnsi="仿宋" w:eastAsia="仿宋"/>
          <w:sz w:val="32"/>
          <w:szCs w:val="32"/>
        </w:rPr>
        <w:t>1.公路超限运输申请表，主要内容包括货物的名称、外廓尺寸和质量，车辆的厂牌型号、整备质量、轴数、轴距和轮胎数，载货时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总体的外廓尺寸、总质量、各车轴轴荷，拟运输的起讫点、通行路线和行驶时间；</w:t>
      </w:r>
    </w:p>
    <w:p w14:paraId="61E2C1F8">
      <w:pPr>
        <w:rPr>
          <w:rFonts w:ascii="仿宋" w:hAnsi="仿宋" w:eastAsia="仿宋"/>
          <w:sz w:val="32"/>
          <w:szCs w:val="32"/>
        </w:rPr>
      </w:pPr>
      <w:r>
        <w:rPr>
          <w:rFonts w:hint="eastAsia" w:ascii="仿宋" w:hAnsi="仿宋" w:eastAsia="仿宋"/>
          <w:sz w:val="32"/>
          <w:szCs w:val="32"/>
        </w:rPr>
        <w:t>2.承运人的道路运输经营许可证，经办人的身份证件和授权委托书；</w:t>
      </w:r>
    </w:p>
    <w:p w14:paraId="4A7D49DE">
      <w:pPr>
        <w:rPr>
          <w:rFonts w:ascii="仿宋" w:hAnsi="仿宋" w:eastAsia="仿宋"/>
          <w:sz w:val="32"/>
          <w:szCs w:val="32"/>
        </w:rPr>
      </w:pPr>
      <w:r>
        <w:rPr>
          <w:rFonts w:hint="eastAsia" w:ascii="仿宋" w:hAnsi="仿宋" w:eastAsia="仿宋"/>
          <w:sz w:val="32"/>
          <w:szCs w:val="32"/>
        </w:rPr>
        <w:t>3.车辆行驶证或者临时行驶</w:t>
      </w:r>
      <w:r>
        <w:rPr>
          <w:rFonts w:hint="eastAsia" w:ascii="仿宋" w:hAnsi="仿宋" w:eastAsia="仿宋"/>
          <w:sz w:val="32"/>
          <w:szCs w:val="32"/>
          <w:lang w:eastAsia="zh-CN"/>
        </w:rPr>
        <w:t>号牌</w:t>
      </w:r>
      <w:r>
        <w:rPr>
          <w:rFonts w:hint="eastAsia" w:ascii="仿宋" w:hAnsi="仿宋" w:eastAsia="仿宋"/>
          <w:sz w:val="32"/>
          <w:szCs w:val="32"/>
        </w:rPr>
        <w:t>；</w:t>
      </w:r>
    </w:p>
    <w:p w14:paraId="5A191564">
      <w:pPr>
        <w:rPr>
          <w:rFonts w:ascii="仿宋" w:hAnsi="仿宋" w:eastAsia="仿宋"/>
          <w:sz w:val="32"/>
          <w:szCs w:val="32"/>
        </w:rPr>
      </w:pPr>
      <w:r>
        <w:rPr>
          <w:rFonts w:hint="eastAsia" w:ascii="仿宋" w:hAnsi="仿宋" w:eastAsia="仿宋"/>
          <w:sz w:val="32"/>
          <w:szCs w:val="32"/>
        </w:rPr>
        <w:t>4.车货总高度从地面算起超过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14:paraId="78684B07">
      <w:pPr>
        <w:rPr>
          <w:rFonts w:ascii="仿宋" w:hAnsi="仿宋" w:eastAsia="仿宋"/>
          <w:sz w:val="32"/>
          <w:szCs w:val="32"/>
        </w:rPr>
      </w:pPr>
      <w:r>
        <w:rPr>
          <w:rFonts w:hint="eastAsia" w:ascii="仿宋" w:hAnsi="仿宋" w:eastAsia="仿宋"/>
          <w:sz w:val="32"/>
          <w:szCs w:val="32"/>
        </w:rPr>
        <w:t>5.护送方案应当包含护送车辆配置方案、护送员配备方案、护送路线情况说明、护送操作细则、异常情况处理等相关内容。</w:t>
      </w:r>
    </w:p>
    <w:p w14:paraId="17F53A15">
      <w:pPr>
        <w:rPr>
          <w:rFonts w:ascii="仿宋" w:hAnsi="仿宋" w:eastAsia="仿宋"/>
          <w:sz w:val="32"/>
          <w:szCs w:val="32"/>
        </w:rPr>
      </w:pPr>
      <w:r>
        <w:rPr>
          <w:rFonts w:hint="eastAsia" w:ascii="仿宋" w:hAnsi="仿宋" w:eastAsia="仿宋"/>
          <w:sz w:val="32"/>
          <w:szCs w:val="32"/>
        </w:rPr>
        <w:t>6.同一大件运输车辆短期内多次通行固定路线，装载方式、装载物品相同，且不需要采取加固、改造措施的，承运人可以根据运输计划向公路管理机构申请办理行驶期限不超过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39531952">
      <w:pPr>
        <w:rPr>
          <w:rFonts w:ascii="楷体" w:hAnsi="楷体" w:eastAsia="楷体"/>
          <w:b/>
          <w:sz w:val="32"/>
          <w:szCs w:val="32"/>
        </w:rPr>
      </w:pPr>
      <w:r>
        <w:rPr>
          <w:rFonts w:hint="eastAsia" w:ascii="楷体" w:hAnsi="楷体" w:eastAsia="楷体"/>
          <w:b/>
          <w:sz w:val="32"/>
          <w:szCs w:val="32"/>
        </w:rPr>
        <w:t>2. 规定申请材料的依据</w:t>
      </w:r>
    </w:p>
    <w:p w14:paraId="7FB325BD">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号）第十条 申请公路超限运输许可的，承运人应当提交下列材料：</w:t>
      </w:r>
    </w:p>
    <w:p w14:paraId="22F0B05D">
      <w:pPr>
        <w:rPr>
          <w:rFonts w:ascii="仿宋" w:hAnsi="仿宋" w:eastAsia="仿宋"/>
          <w:sz w:val="32"/>
          <w:szCs w:val="32"/>
        </w:rPr>
      </w:pPr>
      <w:r>
        <w:rPr>
          <w:rFonts w:hint="eastAsia" w:ascii="仿宋" w:hAnsi="仿宋" w:eastAsia="仿宋"/>
          <w:sz w:val="32"/>
          <w:szCs w:val="32"/>
        </w:rPr>
        <w:t>（一）公路超限运输申请表，主要内容包括货物的名称、外廓尺寸和质量，车辆的厂牌型号、整备质量、轴数、轴距和轮胎数，载货时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总体的外廓尺寸、总质量、各车轴轴荷，拟运输的起讫点、通行路线和行驶时间；</w:t>
      </w:r>
    </w:p>
    <w:p w14:paraId="2B73AA81">
      <w:pPr>
        <w:rPr>
          <w:rFonts w:ascii="仿宋" w:hAnsi="仿宋" w:eastAsia="仿宋"/>
          <w:sz w:val="32"/>
          <w:szCs w:val="32"/>
        </w:rPr>
      </w:pPr>
      <w:r>
        <w:rPr>
          <w:rFonts w:hint="eastAsia" w:ascii="仿宋" w:hAnsi="仿宋" w:eastAsia="仿宋"/>
          <w:sz w:val="32"/>
          <w:szCs w:val="32"/>
        </w:rPr>
        <w:t>（二）承运人的道路运输经营许可证，经办人的身份证件和授权委托书；</w:t>
      </w:r>
    </w:p>
    <w:p w14:paraId="794B0E6C">
      <w:pPr>
        <w:rPr>
          <w:rFonts w:ascii="仿宋" w:hAnsi="仿宋" w:eastAsia="仿宋"/>
          <w:sz w:val="32"/>
          <w:szCs w:val="32"/>
        </w:rPr>
      </w:pPr>
      <w:r>
        <w:rPr>
          <w:rFonts w:hint="eastAsia" w:ascii="仿宋" w:hAnsi="仿宋" w:eastAsia="仿宋"/>
          <w:sz w:val="32"/>
          <w:szCs w:val="32"/>
        </w:rPr>
        <w:t>（三）车辆行驶证或者临时行驶</w:t>
      </w:r>
      <w:r>
        <w:rPr>
          <w:rFonts w:hint="eastAsia" w:ascii="仿宋" w:hAnsi="仿宋" w:eastAsia="仿宋"/>
          <w:sz w:val="32"/>
          <w:szCs w:val="32"/>
          <w:lang w:eastAsia="zh-CN"/>
        </w:rPr>
        <w:t>号牌</w:t>
      </w:r>
      <w:r>
        <w:rPr>
          <w:rFonts w:hint="eastAsia" w:ascii="仿宋" w:hAnsi="仿宋" w:eastAsia="仿宋"/>
          <w:sz w:val="32"/>
          <w:szCs w:val="32"/>
        </w:rPr>
        <w:t>；</w:t>
      </w:r>
    </w:p>
    <w:p w14:paraId="15F4958D">
      <w:pPr>
        <w:rPr>
          <w:rFonts w:ascii="仿宋" w:hAnsi="仿宋" w:eastAsia="仿宋"/>
          <w:sz w:val="32"/>
          <w:szCs w:val="32"/>
        </w:rPr>
      </w:pPr>
      <w:r>
        <w:rPr>
          <w:rFonts w:hint="eastAsia" w:ascii="仿宋" w:hAnsi="仿宋" w:eastAsia="仿宋"/>
          <w:sz w:val="32"/>
          <w:szCs w:val="32"/>
        </w:rPr>
        <w:t>（四）车货总高度从地面算起超过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14:paraId="1B74EA1D">
      <w:pPr>
        <w:rPr>
          <w:rFonts w:ascii="仿宋" w:hAnsi="仿宋" w:eastAsia="仿宋"/>
          <w:sz w:val="32"/>
          <w:szCs w:val="32"/>
        </w:rPr>
      </w:pPr>
      <w:r>
        <w:rPr>
          <w:rFonts w:hint="eastAsia" w:ascii="仿宋" w:hAnsi="仿宋" w:eastAsia="仿宋"/>
          <w:sz w:val="32"/>
          <w:szCs w:val="32"/>
        </w:rPr>
        <w:t>（五）护送方案应当包含护送车辆配置方案、护送员配备方案、护送路线情况说明、护送操作细则、异常情况处理等相关内容。</w:t>
      </w:r>
    </w:p>
    <w:p w14:paraId="51612AD7">
      <w:pPr>
        <w:rPr>
          <w:rFonts w:ascii="仿宋" w:hAnsi="仿宋" w:eastAsia="仿宋"/>
          <w:sz w:val="32"/>
          <w:szCs w:val="32"/>
        </w:rPr>
      </w:pPr>
      <w:r>
        <w:rPr>
          <w:rFonts w:hint="eastAsia" w:ascii="仿宋" w:hAnsi="仿宋" w:eastAsia="仿宋"/>
          <w:sz w:val="32"/>
          <w:szCs w:val="32"/>
        </w:rPr>
        <w:t>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163A276A">
      <w:pPr>
        <w:rPr>
          <w:rFonts w:ascii="黑体" w:hAnsi="黑体" w:eastAsia="黑体"/>
          <w:b/>
          <w:sz w:val="32"/>
          <w:szCs w:val="32"/>
        </w:rPr>
      </w:pPr>
      <w:r>
        <w:rPr>
          <w:rFonts w:hint="eastAsia" w:ascii="黑体" w:hAnsi="黑体" w:eastAsia="黑体"/>
          <w:b/>
          <w:sz w:val="32"/>
          <w:szCs w:val="32"/>
        </w:rPr>
        <w:t>六、中介服务</w:t>
      </w:r>
    </w:p>
    <w:p w14:paraId="0C5DA2FE">
      <w:pPr>
        <w:rPr>
          <w:rFonts w:ascii="仿宋" w:hAnsi="仿宋" w:eastAsia="仿宋"/>
          <w:sz w:val="32"/>
          <w:szCs w:val="32"/>
        </w:rPr>
      </w:pPr>
      <w:r>
        <w:rPr>
          <w:rFonts w:hint="eastAsia" w:ascii="楷体" w:hAnsi="楷体" w:eastAsia="楷体"/>
          <w:b/>
          <w:sz w:val="32"/>
          <w:szCs w:val="32"/>
        </w:rPr>
        <w:t>1. 有无法定中介服务事项：</w:t>
      </w:r>
      <w:r>
        <w:rPr>
          <w:rFonts w:hint="eastAsia" w:ascii="仿宋" w:hAnsi="仿宋" w:eastAsia="仿宋"/>
          <w:sz w:val="32"/>
          <w:szCs w:val="32"/>
        </w:rPr>
        <w:t>无</w:t>
      </w:r>
    </w:p>
    <w:p w14:paraId="773182BF">
      <w:pPr>
        <w:rPr>
          <w:rFonts w:ascii="仿宋" w:hAnsi="仿宋" w:eastAsia="仿宋"/>
          <w:sz w:val="32"/>
          <w:szCs w:val="32"/>
        </w:rPr>
      </w:pPr>
      <w:r>
        <w:rPr>
          <w:rFonts w:hint="eastAsia" w:ascii="楷体" w:hAnsi="楷体" w:eastAsia="楷体"/>
          <w:b/>
          <w:sz w:val="32"/>
          <w:szCs w:val="32"/>
        </w:rPr>
        <w:t>2. 中介服务事项名称 ：</w:t>
      </w:r>
      <w:r>
        <w:rPr>
          <w:rFonts w:hint="eastAsia" w:ascii="仿宋" w:hAnsi="仿宋" w:eastAsia="仿宋"/>
          <w:sz w:val="32"/>
          <w:szCs w:val="32"/>
        </w:rPr>
        <w:t>无</w:t>
      </w:r>
    </w:p>
    <w:p w14:paraId="14C8185F">
      <w:pPr>
        <w:rPr>
          <w:rFonts w:ascii="楷体" w:hAnsi="楷体" w:eastAsia="楷体"/>
          <w:b/>
          <w:sz w:val="32"/>
          <w:szCs w:val="32"/>
        </w:rPr>
      </w:pPr>
      <w:r>
        <w:rPr>
          <w:rFonts w:hint="eastAsia" w:ascii="楷体" w:hAnsi="楷体" w:eastAsia="楷体"/>
          <w:b/>
          <w:sz w:val="32"/>
          <w:szCs w:val="32"/>
        </w:rPr>
        <w:t>3. 设定中介服务事项的依据</w:t>
      </w:r>
    </w:p>
    <w:p w14:paraId="11C3FBBB">
      <w:pPr>
        <w:rPr>
          <w:rFonts w:ascii="仿宋" w:hAnsi="仿宋" w:eastAsia="仿宋"/>
          <w:sz w:val="32"/>
          <w:szCs w:val="32"/>
        </w:rPr>
      </w:pPr>
      <w:r>
        <w:rPr>
          <w:rFonts w:hint="eastAsia" w:ascii="仿宋" w:hAnsi="仿宋" w:eastAsia="仿宋"/>
          <w:sz w:val="32"/>
          <w:szCs w:val="32"/>
        </w:rPr>
        <w:t>无</w:t>
      </w:r>
    </w:p>
    <w:p w14:paraId="7E4D065B">
      <w:pPr>
        <w:rPr>
          <w:rFonts w:ascii="仿宋" w:hAnsi="仿宋" w:eastAsia="仿宋"/>
          <w:sz w:val="32"/>
          <w:szCs w:val="32"/>
        </w:rPr>
      </w:pPr>
      <w:r>
        <w:rPr>
          <w:rFonts w:hint="eastAsia" w:ascii="楷体" w:hAnsi="楷体" w:eastAsia="楷体"/>
          <w:b/>
          <w:sz w:val="32"/>
          <w:szCs w:val="32"/>
        </w:rPr>
        <w:t>4. 提供中介服务的机构 ：</w:t>
      </w:r>
      <w:r>
        <w:rPr>
          <w:rFonts w:hint="eastAsia" w:ascii="仿宋" w:hAnsi="仿宋" w:eastAsia="仿宋"/>
          <w:sz w:val="32"/>
          <w:szCs w:val="32"/>
        </w:rPr>
        <w:t>无</w:t>
      </w:r>
    </w:p>
    <w:p w14:paraId="1E226B48">
      <w:pPr>
        <w:rPr>
          <w:rFonts w:ascii="仿宋" w:hAnsi="仿宋" w:eastAsia="仿宋"/>
          <w:sz w:val="32"/>
          <w:szCs w:val="32"/>
        </w:rPr>
      </w:pPr>
      <w:r>
        <w:rPr>
          <w:rFonts w:hint="eastAsia" w:ascii="楷体" w:hAnsi="楷体" w:eastAsia="楷体"/>
          <w:b/>
          <w:sz w:val="32"/>
          <w:szCs w:val="32"/>
        </w:rPr>
        <w:t>5. 中介服务事项的收费性质 ：</w:t>
      </w:r>
      <w:r>
        <w:rPr>
          <w:rFonts w:hint="eastAsia" w:ascii="仿宋" w:hAnsi="仿宋" w:eastAsia="仿宋"/>
          <w:sz w:val="32"/>
          <w:szCs w:val="32"/>
        </w:rPr>
        <w:t>无</w:t>
      </w:r>
    </w:p>
    <w:p w14:paraId="665F42FA">
      <w:pPr>
        <w:rPr>
          <w:rFonts w:ascii="黑体" w:hAnsi="黑体" w:eastAsia="黑体"/>
          <w:b/>
          <w:sz w:val="32"/>
          <w:szCs w:val="32"/>
        </w:rPr>
      </w:pPr>
      <w:r>
        <w:rPr>
          <w:rFonts w:hint="eastAsia" w:ascii="黑体" w:hAnsi="黑体" w:eastAsia="黑体"/>
          <w:b/>
          <w:sz w:val="32"/>
          <w:szCs w:val="32"/>
        </w:rPr>
        <w:t>七、审批程序</w:t>
      </w:r>
    </w:p>
    <w:p w14:paraId="1B22017A">
      <w:pPr>
        <w:rPr>
          <w:rFonts w:ascii="楷体" w:hAnsi="楷体" w:eastAsia="楷体"/>
          <w:b/>
          <w:sz w:val="32"/>
          <w:szCs w:val="32"/>
        </w:rPr>
      </w:pPr>
      <w:r>
        <w:rPr>
          <w:rFonts w:hint="eastAsia" w:ascii="楷体" w:hAnsi="楷体" w:eastAsia="楷体"/>
          <w:b/>
          <w:sz w:val="32"/>
          <w:szCs w:val="32"/>
        </w:rPr>
        <w:t>1. 办理行政许可的程序环节</w:t>
      </w:r>
    </w:p>
    <w:p w14:paraId="06D700E1">
      <w:pPr>
        <w:rPr>
          <w:rFonts w:ascii="仿宋" w:hAnsi="仿宋" w:eastAsia="仿宋"/>
          <w:sz w:val="32"/>
          <w:szCs w:val="32"/>
        </w:rPr>
      </w:pPr>
      <w:r>
        <w:rPr>
          <w:rFonts w:hint="eastAsia" w:ascii="仿宋" w:hAnsi="仿宋" w:eastAsia="仿宋"/>
          <w:sz w:val="32"/>
          <w:szCs w:val="32"/>
        </w:rPr>
        <w:t>1.受理</w:t>
      </w:r>
    </w:p>
    <w:p w14:paraId="327BD5C1">
      <w:pPr>
        <w:rPr>
          <w:rFonts w:ascii="仿宋" w:hAnsi="仿宋" w:eastAsia="仿宋"/>
          <w:sz w:val="32"/>
          <w:szCs w:val="32"/>
        </w:rPr>
      </w:pPr>
      <w:r>
        <w:rPr>
          <w:rFonts w:hint="eastAsia" w:ascii="仿宋" w:hAnsi="仿宋" w:eastAsia="仿宋"/>
          <w:sz w:val="32"/>
          <w:szCs w:val="32"/>
        </w:rPr>
        <w:t>2.审查</w:t>
      </w:r>
    </w:p>
    <w:p w14:paraId="54E77E31">
      <w:pPr>
        <w:rPr>
          <w:rFonts w:ascii="仿宋" w:hAnsi="仿宋" w:eastAsia="仿宋"/>
          <w:sz w:val="32"/>
          <w:szCs w:val="32"/>
        </w:rPr>
      </w:pPr>
      <w:r>
        <w:rPr>
          <w:rFonts w:hint="eastAsia" w:ascii="仿宋" w:hAnsi="仿宋" w:eastAsia="仿宋"/>
          <w:sz w:val="32"/>
          <w:szCs w:val="32"/>
        </w:rPr>
        <w:t>3.现场核查（必要时）</w:t>
      </w:r>
    </w:p>
    <w:p w14:paraId="237C6B37">
      <w:pPr>
        <w:rPr>
          <w:rFonts w:ascii="仿宋" w:hAnsi="仿宋" w:eastAsia="仿宋"/>
          <w:sz w:val="32"/>
          <w:szCs w:val="32"/>
        </w:rPr>
      </w:pPr>
      <w:r>
        <w:rPr>
          <w:rFonts w:hint="eastAsia" w:ascii="仿宋" w:hAnsi="仿宋" w:eastAsia="仿宋"/>
          <w:sz w:val="32"/>
          <w:szCs w:val="32"/>
        </w:rPr>
        <w:t>4.作出许可决定</w:t>
      </w:r>
    </w:p>
    <w:p w14:paraId="065363AF">
      <w:pPr>
        <w:rPr>
          <w:rFonts w:ascii="楷体" w:hAnsi="楷体" w:eastAsia="楷体"/>
          <w:b/>
          <w:sz w:val="32"/>
          <w:szCs w:val="32"/>
        </w:rPr>
      </w:pPr>
      <w:r>
        <w:rPr>
          <w:rFonts w:hint="eastAsia" w:ascii="楷体" w:hAnsi="楷体" w:eastAsia="楷体"/>
          <w:b/>
          <w:sz w:val="32"/>
          <w:szCs w:val="32"/>
        </w:rPr>
        <w:t>2. 规定行政许可程序的依据</w:t>
      </w:r>
    </w:p>
    <w:p w14:paraId="35C34F51">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号）第十二条 公路管理机构受理公路超限运输许可申请后，应当对承运人提交的申请材料进行审查。属于第十条第二款规定情形的，公路管理机构应当对</w:t>
      </w:r>
      <w:r>
        <w:rPr>
          <w:rFonts w:hint="eastAsia" w:ascii="仿宋" w:hAnsi="仿宋" w:eastAsia="仿宋"/>
          <w:sz w:val="32"/>
          <w:szCs w:val="32"/>
          <w:lang w:eastAsia="zh-CN"/>
        </w:rPr>
        <w:t>货车</w:t>
      </w:r>
      <w:r>
        <w:rPr>
          <w:rFonts w:hint="eastAsia" w:ascii="仿宋" w:hAnsi="仿宋" w:eastAsia="仿宋"/>
          <w:sz w:val="32"/>
          <w:szCs w:val="32"/>
        </w:rPr>
        <w:t>总体外廓尺寸、总质量、轴荷等数据和护送方案进行核查，并征求同级公安机关交通管理部门意见。属于统一受理、集中办理跨省、自治区、直辖市进行运输的，由起运地省级公路管理机构负责审查。</w:t>
      </w:r>
    </w:p>
    <w:p w14:paraId="3524A9E5">
      <w:pPr>
        <w:rPr>
          <w:rFonts w:ascii="仿宋" w:hAnsi="仿宋" w:eastAsia="仿宋"/>
          <w:sz w:val="32"/>
          <w:szCs w:val="32"/>
        </w:rPr>
      </w:pPr>
      <w:r>
        <w:rPr>
          <w:rFonts w:hint="eastAsia" w:ascii="楷体" w:hAnsi="楷体" w:eastAsia="楷体"/>
          <w:b/>
          <w:sz w:val="32"/>
          <w:szCs w:val="32"/>
        </w:rPr>
        <w:t>3. 是否需要现场勘验 ：</w:t>
      </w:r>
      <w:r>
        <w:rPr>
          <w:rFonts w:hint="eastAsia" w:ascii="仿宋" w:hAnsi="仿宋" w:eastAsia="仿宋"/>
          <w:sz w:val="32"/>
          <w:szCs w:val="32"/>
        </w:rPr>
        <w:t>部分情况下开展</w:t>
      </w:r>
    </w:p>
    <w:p w14:paraId="7783573C">
      <w:pPr>
        <w:rPr>
          <w:rFonts w:ascii="仿宋" w:hAnsi="仿宋" w:eastAsia="仿宋"/>
          <w:sz w:val="32"/>
          <w:szCs w:val="32"/>
        </w:rPr>
      </w:pPr>
      <w:r>
        <w:rPr>
          <w:rFonts w:hint="eastAsia" w:ascii="楷体" w:hAnsi="楷体" w:eastAsia="楷体"/>
          <w:b/>
          <w:sz w:val="32"/>
          <w:szCs w:val="32"/>
        </w:rPr>
        <w:t>4. 是否需要组织听证 ：</w:t>
      </w:r>
      <w:r>
        <w:rPr>
          <w:rFonts w:hint="eastAsia" w:ascii="仿宋" w:hAnsi="仿宋" w:eastAsia="仿宋"/>
          <w:sz w:val="32"/>
          <w:szCs w:val="32"/>
        </w:rPr>
        <w:t>否</w:t>
      </w:r>
    </w:p>
    <w:p w14:paraId="2913DF1E">
      <w:pPr>
        <w:rPr>
          <w:rFonts w:ascii="仿宋" w:hAnsi="仿宋" w:eastAsia="仿宋"/>
          <w:sz w:val="32"/>
          <w:szCs w:val="32"/>
        </w:rPr>
      </w:pPr>
      <w:r>
        <w:rPr>
          <w:rFonts w:hint="eastAsia" w:ascii="楷体" w:hAnsi="楷体" w:eastAsia="楷体"/>
          <w:b/>
          <w:sz w:val="32"/>
          <w:szCs w:val="32"/>
        </w:rPr>
        <w:t>5. 是否需要招标、拍卖、挂牌交易 ：</w:t>
      </w:r>
      <w:r>
        <w:rPr>
          <w:rFonts w:hint="eastAsia" w:ascii="仿宋" w:hAnsi="仿宋" w:eastAsia="仿宋"/>
          <w:sz w:val="32"/>
          <w:szCs w:val="32"/>
        </w:rPr>
        <w:t>否</w:t>
      </w:r>
    </w:p>
    <w:p w14:paraId="79C21ECE">
      <w:pPr>
        <w:rPr>
          <w:rFonts w:ascii="仿宋" w:hAnsi="仿宋" w:eastAsia="仿宋"/>
          <w:sz w:val="32"/>
          <w:szCs w:val="32"/>
        </w:rPr>
      </w:pPr>
      <w:r>
        <w:rPr>
          <w:rFonts w:hint="eastAsia" w:ascii="楷体" w:hAnsi="楷体" w:eastAsia="楷体"/>
          <w:b/>
          <w:sz w:val="32"/>
          <w:szCs w:val="32"/>
        </w:rPr>
        <w:t xml:space="preserve">6. 是否需要检验、检测、检疫 </w:t>
      </w:r>
      <w:r>
        <w:rPr>
          <w:rFonts w:hint="eastAsia" w:ascii="仿宋" w:hAnsi="仿宋" w:eastAsia="仿宋"/>
          <w:sz w:val="32"/>
          <w:szCs w:val="32"/>
        </w:rPr>
        <w:t>：否</w:t>
      </w:r>
    </w:p>
    <w:p w14:paraId="22ED2F74">
      <w:pPr>
        <w:rPr>
          <w:rFonts w:ascii="仿宋" w:hAnsi="仿宋" w:eastAsia="仿宋"/>
          <w:sz w:val="32"/>
          <w:szCs w:val="32"/>
        </w:rPr>
      </w:pPr>
      <w:r>
        <w:rPr>
          <w:rFonts w:hint="eastAsia" w:ascii="楷体" w:hAnsi="楷体" w:eastAsia="楷体"/>
          <w:b/>
          <w:sz w:val="32"/>
          <w:szCs w:val="32"/>
        </w:rPr>
        <w:t>7. 是否需要鉴定 ：</w:t>
      </w:r>
      <w:r>
        <w:rPr>
          <w:rFonts w:hint="eastAsia" w:ascii="仿宋" w:hAnsi="仿宋" w:eastAsia="仿宋"/>
          <w:sz w:val="32"/>
          <w:szCs w:val="32"/>
        </w:rPr>
        <w:t>否</w:t>
      </w:r>
    </w:p>
    <w:p w14:paraId="395EB62E">
      <w:pPr>
        <w:rPr>
          <w:rFonts w:ascii="仿宋" w:hAnsi="仿宋" w:eastAsia="仿宋"/>
          <w:sz w:val="32"/>
          <w:szCs w:val="32"/>
        </w:rPr>
      </w:pPr>
      <w:r>
        <w:rPr>
          <w:rFonts w:hint="eastAsia" w:ascii="楷体" w:hAnsi="楷体" w:eastAsia="楷体"/>
          <w:b/>
          <w:sz w:val="32"/>
          <w:szCs w:val="32"/>
        </w:rPr>
        <w:t>8. 是否需要专家评审 ：</w:t>
      </w:r>
      <w:r>
        <w:rPr>
          <w:rFonts w:hint="eastAsia" w:ascii="仿宋" w:hAnsi="仿宋" w:eastAsia="仿宋"/>
          <w:sz w:val="32"/>
          <w:szCs w:val="32"/>
        </w:rPr>
        <w:t>否</w:t>
      </w:r>
    </w:p>
    <w:p w14:paraId="60EF818D">
      <w:pPr>
        <w:rPr>
          <w:rFonts w:ascii="仿宋" w:hAnsi="仿宋" w:eastAsia="仿宋"/>
          <w:sz w:val="32"/>
          <w:szCs w:val="32"/>
        </w:rPr>
      </w:pPr>
      <w:r>
        <w:rPr>
          <w:rFonts w:hint="eastAsia" w:ascii="楷体" w:hAnsi="楷体" w:eastAsia="楷体"/>
          <w:b/>
          <w:sz w:val="32"/>
          <w:szCs w:val="32"/>
        </w:rPr>
        <w:t>9. 是否需要向社会公示 ：</w:t>
      </w:r>
      <w:r>
        <w:rPr>
          <w:rFonts w:hint="eastAsia" w:ascii="仿宋" w:hAnsi="仿宋" w:eastAsia="仿宋"/>
          <w:sz w:val="32"/>
          <w:szCs w:val="32"/>
        </w:rPr>
        <w:t>是</w:t>
      </w:r>
    </w:p>
    <w:p w14:paraId="79473F8A">
      <w:pPr>
        <w:rPr>
          <w:rFonts w:ascii="仿宋" w:hAnsi="仿宋" w:eastAsia="仿宋"/>
          <w:sz w:val="32"/>
          <w:szCs w:val="32"/>
        </w:rPr>
      </w:pPr>
      <w:r>
        <w:rPr>
          <w:rFonts w:hint="eastAsia" w:ascii="楷体" w:hAnsi="楷体" w:eastAsia="楷体"/>
          <w:b/>
          <w:sz w:val="32"/>
          <w:szCs w:val="32"/>
        </w:rPr>
        <w:t>10. 是否实行告知承诺办理 ：</w:t>
      </w:r>
      <w:r>
        <w:rPr>
          <w:rFonts w:hint="eastAsia" w:ascii="仿宋" w:hAnsi="仿宋" w:eastAsia="仿宋"/>
          <w:sz w:val="32"/>
          <w:szCs w:val="32"/>
        </w:rPr>
        <w:t>否</w:t>
      </w:r>
    </w:p>
    <w:p w14:paraId="5F58968E">
      <w:pPr>
        <w:rPr>
          <w:rFonts w:ascii="仿宋" w:hAnsi="仿宋" w:eastAsia="仿宋"/>
          <w:sz w:val="32"/>
          <w:szCs w:val="32"/>
        </w:rPr>
      </w:pPr>
      <w:r>
        <w:rPr>
          <w:rFonts w:hint="eastAsia" w:ascii="楷体" w:hAnsi="楷体" w:eastAsia="楷体"/>
          <w:b/>
          <w:sz w:val="32"/>
          <w:szCs w:val="32"/>
        </w:rPr>
        <w:t>11. 审批机关是否委托服务机构开展技术性服务：</w:t>
      </w:r>
      <w:r>
        <w:rPr>
          <w:rFonts w:hint="eastAsia" w:ascii="仿宋" w:hAnsi="仿宋" w:eastAsia="仿宋"/>
          <w:sz w:val="32"/>
          <w:szCs w:val="32"/>
        </w:rPr>
        <w:t>部分情况下开展</w:t>
      </w:r>
    </w:p>
    <w:p w14:paraId="445B46F7">
      <w:pPr>
        <w:rPr>
          <w:rFonts w:ascii="黑体" w:hAnsi="黑体" w:eastAsia="黑体"/>
          <w:b/>
          <w:sz w:val="32"/>
          <w:szCs w:val="32"/>
        </w:rPr>
      </w:pPr>
      <w:r>
        <w:rPr>
          <w:rFonts w:hint="eastAsia" w:ascii="黑体" w:hAnsi="黑体" w:eastAsia="黑体"/>
          <w:b/>
          <w:sz w:val="32"/>
          <w:szCs w:val="32"/>
        </w:rPr>
        <w:t>八、受理和审批时限</w:t>
      </w:r>
    </w:p>
    <w:p w14:paraId="478A8715">
      <w:pPr>
        <w:rPr>
          <w:rFonts w:ascii="仿宋" w:hAnsi="仿宋" w:eastAsia="仿宋"/>
          <w:sz w:val="32"/>
          <w:szCs w:val="32"/>
        </w:rPr>
      </w:pPr>
      <w:r>
        <w:rPr>
          <w:rFonts w:hint="eastAsia" w:ascii="楷体" w:hAnsi="楷体" w:eastAsia="楷体"/>
          <w:b/>
          <w:sz w:val="32"/>
          <w:szCs w:val="32"/>
        </w:rPr>
        <w:t>1. 承诺受理时限：</w:t>
      </w:r>
      <w:r>
        <w:rPr>
          <w:rFonts w:hint="eastAsia" w:ascii="仿宋" w:hAnsi="仿宋" w:eastAsia="仿宋"/>
          <w:sz w:val="32"/>
          <w:szCs w:val="32"/>
        </w:rPr>
        <w:t>5 个工作日</w:t>
      </w:r>
    </w:p>
    <w:p w14:paraId="3B9EA9FD">
      <w:pPr>
        <w:rPr>
          <w:rFonts w:ascii="仿宋" w:hAnsi="仿宋" w:eastAsia="仿宋"/>
          <w:sz w:val="32"/>
          <w:szCs w:val="32"/>
        </w:rPr>
      </w:pPr>
      <w:r>
        <w:rPr>
          <w:rFonts w:hint="eastAsia" w:ascii="楷体" w:hAnsi="楷体" w:eastAsia="楷体"/>
          <w:b/>
          <w:sz w:val="32"/>
          <w:szCs w:val="32"/>
        </w:rPr>
        <w:t>2. 法定审批时限：</w:t>
      </w:r>
      <w:r>
        <w:rPr>
          <w:rFonts w:hint="eastAsia" w:ascii="仿宋" w:hAnsi="仿宋" w:eastAsia="仿宋"/>
          <w:sz w:val="32"/>
          <w:szCs w:val="32"/>
        </w:rPr>
        <w:t>20 个工作日</w:t>
      </w:r>
    </w:p>
    <w:p w14:paraId="03C0A715">
      <w:pPr>
        <w:rPr>
          <w:rFonts w:ascii="楷体" w:hAnsi="楷体" w:eastAsia="楷体"/>
          <w:b/>
          <w:sz w:val="32"/>
          <w:szCs w:val="32"/>
        </w:rPr>
      </w:pPr>
      <w:r>
        <w:rPr>
          <w:rFonts w:hint="eastAsia" w:ascii="楷体" w:hAnsi="楷体" w:eastAsia="楷体"/>
          <w:b/>
          <w:sz w:val="32"/>
          <w:szCs w:val="32"/>
        </w:rPr>
        <w:t>3. 规定法定审批时限依据</w:t>
      </w:r>
    </w:p>
    <w:p w14:paraId="49E7C19D">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号）第十五条 公路管理机构应当在下列期限内作出行政许可决定：</w:t>
      </w:r>
    </w:p>
    <w:p w14:paraId="00C4DCBE">
      <w:pPr>
        <w:rPr>
          <w:rFonts w:ascii="仿宋" w:hAnsi="仿宋" w:eastAsia="仿宋"/>
          <w:sz w:val="32"/>
          <w:szCs w:val="32"/>
        </w:rPr>
      </w:pPr>
      <w:r>
        <w:rPr>
          <w:rFonts w:hint="eastAsia" w:ascii="仿宋" w:hAnsi="仿宋" w:eastAsia="仿宋"/>
          <w:sz w:val="32"/>
          <w:szCs w:val="32"/>
        </w:rPr>
        <w:t>（一）车货总高度从地面算起未超过 4.2 米、总宽度未超过 3 米、总长度未超过 20 米且车货总质量、轴荷未超过本规定第三条、第十七条规定标准的，自受理申请之日起 2 个工作日内作出，属于统一受理、集中办理跨省、自治区、直辖市大件运输的，办理的时间最长不得超过 5 个工作日；（二）</w:t>
      </w:r>
      <w:r>
        <w:rPr>
          <w:rFonts w:hint="eastAsia" w:ascii="仿宋" w:hAnsi="仿宋" w:eastAsia="仿宋"/>
          <w:sz w:val="32"/>
          <w:szCs w:val="32"/>
          <w:lang w:eastAsia="zh-CN"/>
        </w:rPr>
        <w:t>货车</w:t>
      </w:r>
      <w:r>
        <w:rPr>
          <w:rFonts w:hint="eastAsia" w:ascii="仿宋" w:hAnsi="仿宋" w:eastAsia="仿宋"/>
          <w:sz w:val="32"/>
          <w:szCs w:val="32"/>
        </w:rPr>
        <w:t>总高度从地面算起未超过 4.5 米、总宽度未超过 3.75 米、总长度未超过 28 米且总质量未超过 100000 千克的，属于本辖区内大件运输的，自受理申请之日起 5 个工作日内作出，属于统一受理、集中办理跨省、自治区、直辖市大件运输的，办理的时间最长不得超过 10 个工作日；（三）</w:t>
      </w:r>
      <w:r>
        <w:rPr>
          <w:rFonts w:hint="eastAsia" w:ascii="仿宋" w:hAnsi="仿宋" w:eastAsia="仿宋"/>
          <w:sz w:val="32"/>
          <w:szCs w:val="32"/>
          <w:lang w:eastAsia="zh-CN"/>
        </w:rPr>
        <w:t>货车</w:t>
      </w:r>
      <w:r>
        <w:rPr>
          <w:rFonts w:hint="eastAsia" w:ascii="仿宋" w:hAnsi="仿宋" w:eastAsia="仿宋"/>
          <w:sz w:val="32"/>
          <w:szCs w:val="32"/>
        </w:rPr>
        <w:t>总高度从地面算起超过 4.5 米，或者总宽度超过 3.75 米，或者总长度超过 28 米，或者总质量超过 100000 千克的，属于本辖区内大件运输的，自受理申请之日起 15 个工作日内作出，属于统一受理、集中办理跨省、自治区、直辖市大件运输的，办理的时间最长不得超过 20 个工作日。采取加固、改造措施所需时间不计算在前款规定的期限内。</w:t>
      </w:r>
    </w:p>
    <w:p w14:paraId="4E2CC3B9">
      <w:pPr>
        <w:rPr>
          <w:rFonts w:ascii="仿宋" w:hAnsi="仿宋" w:eastAsia="仿宋"/>
          <w:color w:val="FF0000"/>
          <w:sz w:val="32"/>
          <w:szCs w:val="32"/>
        </w:rPr>
      </w:pPr>
      <w:r>
        <w:rPr>
          <w:rFonts w:hint="eastAsia" w:ascii="楷体" w:hAnsi="楷体" w:eastAsia="楷体"/>
          <w:b/>
          <w:sz w:val="32"/>
          <w:szCs w:val="32"/>
        </w:rPr>
        <w:t>4. 承诺审批时限：</w:t>
      </w:r>
      <w:r>
        <w:rPr>
          <w:rFonts w:hint="eastAsia" w:ascii="仿宋" w:hAnsi="仿宋" w:eastAsia="仿宋"/>
          <w:color w:val="FF0000"/>
          <w:sz w:val="32"/>
          <w:szCs w:val="32"/>
        </w:rPr>
        <w:t>5 个工作日</w:t>
      </w:r>
    </w:p>
    <w:p w14:paraId="6428C436">
      <w:pPr>
        <w:rPr>
          <w:rFonts w:ascii="仿宋" w:hAnsi="仿宋" w:eastAsia="仿宋"/>
          <w:sz w:val="32"/>
          <w:szCs w:val="32"/>
        </w:rPr>
      </w:pPr>
      <w:r>
        <w:rPr>
          <w:rFonts w:hint="eastAsia" w:ascii="仿宋" w:hAnsi="仿宋" w:eastAsia="仿宋"/>
          <w:sz w:val="32"/>
          <w:szCs w:val="32"/>
        </w:rPr>
        <w:t>依法进行加固、改造措施另需时间不计算在该时限</w:t>
      </w:r>
    </w:p>
    <w:p w14:paraId="570DB235">
      <w:pPr>
        <w:rPr>
          <w:rFonts w:ascii="黑体" w:hAnsi="黑体" w:eastAsia="黑体"/>
          <w:b/>
          <w:sz w:val="32"/>
          <w:szCs w:val="32"/>
        </w:rPr>
      </w:pPr>
      <w:r>
        <w:rPr>
          <w:rFonts w:hint="eastAsia" w:ascii="黑体" w:hAnsi="黑体" w:eastAsia="黑体"/>
          <w:b/>
          <w:sz w:val="32"/>
          <w:szCs w:val="32"/>
        </w:rPr>
        <w:t>九、收费</w:t>
      </w:r>
    </w:p>
    <w:p w14:paraId="41E6911E">
      <w:pPr>
        <w:rPr>
          <w:rFonts w:ascii="仿宋" w:hAnsi="仿宋" w:eastAsia="仿宋"/>
          <w:sz w:val="32"/>
          <w:szCs w:val="32"/>
        </w:rPr>
      </w:pPr>
      <w:r>
        <w:rPr>
          <w:rFonts w:hint="eastAsia" w:ascii="楷体" w:hAnsi="楷体" w:eastAsia="楷体"/>
          <w:b/>
          <w:sz w:val="32"/>
          <w:szCs w:val="32"/>
        </w:rPr>
        <w:t>1. 办理行政许可是否收费：</w:t>
      </w:r>
      <w:r>
        <w:rPr>
          <w:rFonts w:hint="eastAsia" w:ascii="仿宋" w:hAnsi="仿宋" w:eastAsia="仿宋"/>
          <w:sz w:val="32"/>
          <w:szCs w:val="32"/>
        </w:rPr>
        <w:t>否</w:t>
      </w:r>
    </w:p>
    <w:p w14:paraId="18424B74">
      <w:pPr>
        <w:rPr>
          <w:rFonts w:ascii="楷体" w:hAnsi="楷体" w:eastAsia="楷体"/>
          <w:b/>
          <w:sz w:val="32"/>
          <w:szCs w:val="32"/>
        </w:rPr>
      </w:pPr>
      <w:r>
        <w:rPr>
          <w:rFonts w:hint="eastAsia" w:ascii="楷体" w:hAnsi="楷体" w:eastAsia="楷体"/>
          <w:b/>
          <w:sz w:val="32"/>
          <w:szCs w:val="32"/>
        </w:rPr>
        <w:t>2. 收费项目的名称 、 收费项目的标准 、 设定收费项目的依据 、 规定收费标准的依据</w:t>
      </w:r>
    </w:p>
    <w:p w14:paraId="4C3F655E">
      <w:pPr>
        <w:rPr>
          <w:rFonts w:ascii="仿宋" w:hAnsi="仿宋" w:eastAsia="仿宋"/>
          <w:sz w:val="32"/>
          <w:szCs w:val="32"/>
        </w:rPr>
      </w:pPr>
      <w:r>
        <w:rPr>
          <w:rFonts w:hint="eastAsia" w:ascii="仿宋" w:hAnsi="仿宋" w:eastAsia="仿宋"/>
          <w:sz w:val="32"/>
          <w:szCs w:val="32"/>
        </w:rPr>
        <w:t>无</w:t>
      </w:r>
    </w:p>
    <w:p w14:paraId="2453B73A">
      <w:pPr>
        <w:rPr>
          <w:rFonts w:ascii="黑体" w:hAnsi="黑体" w:eastAsia="黑体"/>
          <w:b/>
          <w:sz w:val="32"/>
          <w:szCs w:val="32"/>
        </w:rPr>
      </w:pPr>
      <w:r>
        <w:rPr>
          <w:rFonts w:hint="eastAsia" w:ascii="黑体" w:hAnsi="黑体" w:eastAsia="黑体"/>
          <w:b/>
          <w:sz w:val="32"/>
          <w:szCs w:val="32"/>
        </w:rPr>
        <w:t>十、行政许可证件</w:t>
      </w:r>
    </w:p>
    <w:p w14:paraId="7B532C48">
      <w:pPr>
        <w:rPr>
          <w:rFonts w:ascii="仿宋" w:hAnsi="仿宋" w:eastAsia="仿宋"/>
          <w:sz w:val="32"/>
          <w:szCs w:val="32"/>
        </w:rPr>
      </w:pPr>
      <w:r>
        <w:rPr>
          <w:rFonts w:hint="eastAsia" w:ascii="楷体" w:hAnsi="楷体" w:eastAsia="楷体"/>
          <w:b/>
          <w:sz w:val="32"/>
          <w:szCs w:val="32"/>
        </w:rPr>
        <w:t>1. 审批结果类型：</w:t>
      </w:r>
      <w:r>
        <w:rPr>
          <w:rFonts w:hint="eastAsia" w:ascii="仿宋" w:hAnsi="仿宋" w:eastAsia="仿宋"/>
          <w:sz w:val="32"/>
          <w:szCs w:val="32"/>
        </w:rPr>
        <w:t>证照</w:t>
      </w:r>
    </w:p>
    <w:p w14:paraId="53DA59AD">
      <w:pPr>
        <w:rPr>
          <w:rFonts w:ascii="仿宋" w:hAnsi="仿宋" w:eastAsia="仿宋"/>
          <w:sz w:val="32"/>
          <w:szCs w:val="32"/>
        </w:rPr>
      </w:pPr>
      <w:r>
        <w:rPr>
          <w:rFonts w:hint="eastAsia" w:ascii="楷体" w:hAnsi="楷体" w:eastAsia="楷体"/>
          <w:b/>
          <w:sz w:val="32"/>
          <w:szCs w:val="32"/>
        </w:rPr>
        <w:t>2. 审批结果名称：</w:t>
      </w:r>
      <w:r>
        <w:rPr>
          <w:rFonts w:hint="eastAsia" w:ascii="仿宋" w:hAnsi="仿宋" w:eastAsia="仿宋"/>
          <w:sz w:val="32"/>
          <w:szCs w:val="32"/>
        </w:rPr>
        <w:t>《超限运输车辆通行证》</w:t>
      </w:r>
    </w:p>
    <w:p w14:paraId="25808859">
      <w:pPr>
        <w:rPr>
          <w:rFonts w:ascii="仿宋" w:hAnsi="仿宋" w:eastAsia="仿宋"/>
          <w:sz w:val="32"/>
          <w:szCs w:val="32"/>
        </w:rPr>
      </w:pPr>
      <w:r>
        <w:rPr>
          <w:rFonts w:hint="eastAsia" w:ascii="楷体" w:hAnsi="楷体" w:eastAsia="楷体"/>
          <w:b/>
          <w:sz w:val="32"/>
          <w:szCs w:val="32"/>
        </w:rPr>
        <w:t>3. 审批结果的有效期限：</w:t>
      </w:r>
      <w:r>
        <w:rPr>
          <w:rFonts w:hint="eastAsia" w:ascii="仿宋" w:hAnsi="仿宋" w:eastAsia="仿宋"/>
          <w:sz w:val="32"/>
          <w:szCs w:val="32"/>
        </w:rPr>
        <w:t>有效期最长不超过六个月</w:t>
      </w:r>
    </w:p>
    <w:p w14:paraId="5EE21B7B">
      <w:pPr>
        <w:rPr>
          <w:rFonts w:ascii="楷体" w:hAnsi="楷体" w:eastAsia="楷体"/>
          <w:b/>
          <w:sz w:val="32"/>
          <w:szCs w:val="32"/>
        </w:rPr>
      </w:pPr>
      <w:r>
        <w:rPr>
          <w:rFonts w:hint="eastAsia" w:ascii="楷体" w:hAnsi="楷体" w:eastAsia="楷体"/>
          <w:b/>
          <w:sz w:val="32"/>
          <w:szCs w:val="32"/>
        </w:rPr>
        <w:t>4. 规定审批结果有效期限的依据</w:t>
      </w:r>
    </w:p>
    <w:p w14:paraId="662D6D19">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5F1157BE">
      <w:pPr>
        <w:rPr>
          <w:rFonts w:ascii="仿宋" w:hAnsi="仿宋" w:eastAsia="仿宋"/>
          <w:sz w:val="32"/>
          <w:szCs w:val="32"/>
        </w:rPr>
      </w:pPr>
      <w:r>
        <w:rPr>
          <w:rFonts w:hint="eastAsia" w:ascii="楷体" w:hAnsi="楷体" w:eastAsia="楷体"/>
          <w:b/>
          <w:sz w:val="32"/>
          <w:szCs w:val="32"/>
        </w:rPr>
        <w:t>5. 是否需要办理审批结果变更手续</w:t>
      </w:r>
      <w:r>
        <w:rPr>
          <w:rFonts w:hint="eastAsia" w:ascii="仿宋" w:hAnsi="仿宋" w:eastAsia="仿宋"/>
          <w:sz w:val="32"/>
          <w:szCs w:val="32"/>
        </w:rPr>
        <w:t>：否</w:t>
      </w:r>
    </w:p>
    <w:p w14:paraId="607E24FB">
      <w:pPr>
        <w:rPr>
          <w:rFonts w:ascii="楷体" w:hAnsi="楷体" w:eastAsia="楷体"/>
          <w:b/>
          <w:sz w:val="32"/>
          <w:szCs w:val="32"/>
        </w:rPr>
      </w:pPr>
      <w:r>
        <w:rPr>
          <w:rFonts w:hint="eastAsia" w:ascii="楷体" w:hAnsi="楷体" w:eastAsia="楷体"/>
          <w:b/>
          <w:sz w:val="32"/>
          <w:szCs w:val="32"/>
        </w:rPr>
        <w:t>6. 办理审批结果变更手续的要求</w:t>
      </w:r>
    </w:p>
    <w:p w14:paraId="47F1B61B">
      <w:pPr>
        <w:rPr>
          <w:rFonts w:ascii="楷体" w:hAnsi="楷体" w:eastAsia="楷体"/>
          <w:b/>
          <w:sz w:val="32"/>
          <w:szCs w:val="32"/>
        </w:rPr>
      </w:pPr>
      <w:r>
        <w:rPr>
          <w:rFonts w:hint="eastAsia" w:ascii="楷体" w:hAnsi="楷体" w:eastAsia="楷体"/>
          <w:b/>
          <w:sz w:val="32"/>
          <w:szCs w:val="32"/>
        </w:rPr>
        <w:t>无</w:t>
      </w:r>
    </w:p>
    <w:p w14:paraId="4B17F2AC">
      <w:pPr>
        <w:rPr>
          <w:rFonts w:ascii="仿宋" w:hAnsi="仿宋" w:eastAsia="仿宋"/>
          <w:sz w:val="32"/>
          <w:szCs w:val="32"/>
        </w:rPr>
      </w:pPr>
      <w:r>
        <w:rPr>
          <w:rFonts w:hint="eastAsia" w:ascii="楷体" w:hAnsi="楷体" w:eastAsia="楷体"/>
          <w:b/>
          <w:sz w:val="32"/>
          <w:szCs w:val="32"/>
        </w:rPr>
        <w:t>7. 是否需要办理审批结果延续手续：</w:t>
      </w:r>
      <w:r>
        <w:rPr>
          <w:rFonts w:hint="eastAsia" w:ascii="仿宋" w:hAnsi="仿宋" w:eastAsia="仿宋"/>
          <w:sz w:val="32"/>
          <w:szCs w:val="32"/>
        </w:rPr>
        <w:t>否</w:t>
      </w:r>
    </w:p>
    <w:p w14:paraId="0FF5740C">
      <w:pPr>
        <w:rPr>
          <w:rFonts w:ascii="楷体" w:hAnsi="楷体" w:eastAsia="楷体"/>
          <w:b/>
          <w:sz w:val="32"/>
          <w:szCs w:val="32"/>
        </w:rPr>
      </w:pPr>
      <w:r>
        <w:rPr>
          <w:rFonts w:hint="eastAsia" w:ascii="楷体" w:hAnsi="楷体" w:eastAsia="楷体"/>
          <w:b/>
          <w:sz w:val="32"/>
          <w:szCs w:val="32"/>
        </w:rPr>
        <w:t>8. 办理审批结果延续手续的要求</w:t>
      </w:r>
    </w:p>
    <w:p w14:paraId="0A2A58AD">
      <w:pPr>
        <w:rPr>
          <w:rFonts w:ascii="仿宋" w:hAnsi="仿宋" w:eastAsia="仿宋"/>
          <w:sz w:val="32"/>
          <w:szCs w:val="32"/>
        </w:rPr>
      </w:pPr>
      <w:r>
        <w:rPr>
          <w:rFonts w:hint="eastAsia" w:ascii="仿宋" w:hAnsi="仿宋" w:eastAsia="仿宋"/>
          <w:sz w:val="32"/>
          <w:szCs w:val="32"/>
        </w:rPr>
        <w:t>无</w:t>
      </w:r>
    </w:p>
    <w:p w14:paraId="228D301C">
      <w:pPr>
        <w:rPr>
          <w:rFonts w:ascii="楷体" w:hAnsi="楷体" w:eastAsia="楷体"/>
          <w:b/>
          <w:sz w:val="32"/>
          <w:szCs w:val="32"/>
        </w:rPr>
      </w:pPr>
      <w:r>
        <w:rPr>
          <w:rFonts w:hint="eastAsia" w:ascii="楷体" w:hAnsi="楷体" w:eastAsia="楷体"/>
          <w:b/>
          <w:sz w:val="32"/>
          <w:szCs w:val="32"/>
        </w:rPr>
        <w:t>9. 审批结果的有效地域范围</w:t>
      </w:r>
    </w:p>
    <w:p w14:paraId="094FC3CE">
      <w:pPr>
        <w:rPr>
          <w:rFonts w:ascii="仿宋" w:hAnsi="仿宋" w:eastAsia="仿宋"/>
          <w:sz w:val="32"/>
          <w:szCs w:val="32"/>
        </w:rPr>
      </w:pPr>
      <w:r>
        <w:rPr>
          <w:rFonts w:hint="eastAsia" w:ascii="仿宋" w:hAnsi="仿宋" w:eastAsia="仿宋"/>
          <w:sz w:val="32"/>
          <w:szCs w:val="32"/>
        </w:rPr>
        <w:t>与《超限运输车辆通行证》记载一致</w:t>
      </w:r>
    </w:p>
    <w:p w14:paraId="486C402C">
      <w:pPr>
        <w:rPr>
          <w:rFonts w:ascii="楷体" w:hAnsi="楷体" w:eastAsia="楷体"/>
          <w:b/>
          <w:sz w:val="32"/>
          <w:szCs w:val="32"/>
        </w:rPr>
      </w:pPr>
      <w:r>
        <w:rPr>
          <w:rFonts w:hint="eastAsia" w:ascii="楷体" w:hAnsi="楷体" w:eastAsia="楷体"/>
          <w:b/>
          <w:sz w:val="32"/>
          <w:szCs w:val="32"/>
        </w:rPr>
        <w:t>10. 规定审批结果有效地域范围的依据</w:t>
      </w:r>
    </w:p>
    <w:p w14:paraId="70FAF6CE">
      <w:pPr>
        <w:rPr>
          <w:rFonts w:ascii="仿宋" w:hAnsi="仿宋" w:eastAsia="仿宋"/>
          <w:sz w:val="32"/>
          <w:szCs w:val="32"/>
        </w:rPr>
      </w:pPr>
      <w:r>
        <w:rPr>
          <w:rFonts w:hint="eastAsia" w:ascii="仿宋" w:hAnsi="仿宋" w:eastAsia="仿宋"/>
          <w:sz w:val="32"/>
          <w:szCs w:val="32"/>
        </w:rPr>
        <w:t>（1）《中华人民共和国公路法》第五十条 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w:t>
      </w:r>
    </w:p>
    <w:p w14:paraId="5A85CE6A">
      <w:pPr>
        <w:rPr>
          <w:rFonts w:ascii="仿宋" w:hAnsi="仿宋" w:eastAsia="仿宋"/>
          <w:sz w:val="32"/>
          <w:szCs w:val="32"/>
        </w:rPr>
      </w:pPr>
      <w:r>
        <w:rPr>
          <w:rFonts w:hint="eastAsia" w:ascii="仿宋" w:hAnsi="仿宋" w:eastAsia="仿宋"/>
          <w:sz w:val="32"/>
          <w:szCs w:val="32"/>
        </w:rPr>
        <w:t>由交通主管部门帮助其采取防护措施，所需费用由运输单位承担。</w:t>
      </w:r>
    </w:p>
    <w:p w14:paraId="00B15FB9">
      <w:pPr>
        <w:rPr>
          <w:rFonts w:ascii="仿宋" w:hAnsi="仿宋" w:eastAsia="仿宋"/>
          <w:sz w:val="32"/>
          <w:szCs w:val="32"/>
        </w:rPr>
      </w:pPr>
      <w:r>
        <w:rPr>
          <w:rFonts w:hint="eastAsia" w:ascii="仿宋" w:hAnsi="仿宋" w:eastAsia="仿宋"/>
          <w:sz w:val="32"/>
          <w:szCs w:val="32"/>
        </w:rPr>
        <w:t>（2）《公路安全保护条例》第三十八条 公路管理机构批准超限运输申请的，应当为超限运输车辆配发国务院交通运输主管部门规定式样的超限运输车辆通行证。经批准进行超限运输的车辆，应当随车携带超限运输车辆通行证，按照指定的时间、路线和速度行驶，并悬挂明显标志。禁止租借、转让超限运输车辆通行证。禁止使用伪造、变造的超限运输车辆通行证。</w:t>
      </w:r>
    </w:p>
    <w:p w14:paraId="1D937389">
      <w:pPr>
        <w:rPr>
          <w:rFonts w:ascii="仿宋" w:hAnsi="仿宋" w:eastAsia="仿宋"/>
          <w:sz w:val="32"/>
          <w:szCs w:val="32"/>
        </w:rPr>
      </w:pPr>
      <w:r>
        <w:rPr>
          <w:rFonts w:hint="eastAsia" w:ascii="仿宋" w:hAnsi="仿宋" w:eastAsia="仿宋"/>
          <w:sz w:val="32"/>
          <w:szCs w:val="32"/>
        </w:rPr>
        <w:t>（3）《超限运输车辆行驶公路管理规定》（交通运输部令 2021年第 12 号）第六条 载运不可解体物品的超限运输（以下称大件运输）车辆，应当依法办理有关许可手续，采取有效措施后，按照指定的时间、路线、速度行驶公路。未经许可，不得擅自行驶公路。</w:t>
      </w:r>
    </w:p>
    <w:p w14:paraId="5DDE4ED0">
      <w:pPr>
        <w:rPr>
          <w:rFonts w:ascii="黑体" w:hAnsi="黑体" w:eastAsia="黑体"/>
          <w:b/>
          <w:sz w:val="32"/>
          <w:szCs w:val="32"/>
        </w:rPr>
      </w:pPr>
      <w:r>
        <w:rPr>
          <w:rFonts w:hint="eastAsia" w:ascii="黑体" w:hAnsi="黑体" w:eastAsia="黑体"/>
          <w:b/>
          <w:sz w:val="32"/>
          <w:szCs w:val="32"/>
        </w:rPr>
        <w:t>十一、行政许可数量限制</w:t>
      </w:r>
    </w:p>
    <w:p w14:paraId="6030FF66">
      <w:pPr>
        <w:rPr>
          <w:rFonts w:ascii="仿宋" w:hAnsi="仿宋" w:eastAsia="仿宋"/>
          <w:sz w:val="32"/>
          <w:szCs w:val="32"/>
        </w:rPr>
      </w:pPr>
      <w:r>
        <w:rPr>
          <w:rFonts w:hint="eastAsia" w:ascii="楷体" w:hAnsi="楷体" w:eastAsia="楷体"/>
          <w:b/>
          <w:sz w:val="32"/>
          <w:szCs w:val="32"/>
        </w:rPr>
        <w:t>1. 有无行政许可数量限制：</w:t>
      </w:r>
      <w:r>
        <w:rPr>
          <w:rFonts w:hint="eastAsia" w:ascii="仿宋" w:hAnsi="仿宋" w:eastAsia="仿宋"/>
          <w:sz w:val="32"/>
          <w:szCs w:val="32"/>
        </w:rPr>
        <w:t>无</w:t>
      </w:r>
    </w:p>
    <w:p w14:paraId="32E0D567">
      <w:pPr>
        <w:rPr>
          <w:rFonts w:ascii="仿宋" w:hAnsi="仿宋" w:eastAsia="仿宋"/>
          <w:sz w:val="32"/>
          <w:szCs w:val="32"/>
        </w:rPr>
      </w:pPr>
      <w:r>
        <w:rPr>
          <w:rFonts w:hint="eastAsia" w:ascii="楷体" w:hAnsi="楷体" w:eastAsia="楷体"/>
          <w:b/>
          <w:sz w:val="32"/>
          <w:szCs w:val="32"/>
        </w:rPr>
        <w:t>2. 公布数量限制的方式：</w:t>
      </w:r>
      <w:r>
        <w:rPr>
          <w:rFonts w:hint="eastAsia" w:ascii="仿宋" w:hAnsi="仿宋" w:eastAsia="仿宋"/>
          <w:sz w:val="32"/>
          <w:szCs w:val="32"/>
        </w:rPr>
        <w:t>无</w:t>
      </w:r>
    </w:p>
    <w:p w14:paraId="7E8FC070">
      <w:pPr>
        <w:rPr>
          <w:rFonts w:ascii="仿宋" w:hAnsi="仿宋" w:eastAsia="仿宋"/>
          <w:sz w:val="32"/>
          <w:szCs w:val="32"/>
        </w:rPr>
      </w:pPr>
      <w:r>
        <w:rPr>
          <w:rFonts w:hint="eastAsia" w:ascii="楷体" w:hAnsi="楷体" w:eastAsia="楷体"/>
          <w:b/>
          <w:sz w:val="32"/>
          <w:szCs w:val="32"/>
        </w:rPr>
        <w:t>3. 公布数量限制的周期：</w:t>
      </w:r>
      <w:r>
        <w:rPr>
          <w:rFonts w:hint="eastAsia" w:ascii="仿宋" w:hAnsi="仿宋" w:eastAsia="仿宋"/>
          <w:sz w:val="32"/>
          <w:szCs w:val="32"/>
        </w:rPr>
        <w:t>无</w:t>
      </w:r>
    </w:p>
    <w:p w14:paraId="73E4FD06">
      <w:pPr>
        <w:rPr>
          <w:rFonts w:ascii="仿宋" w:hAnsi="仿宋" w:eastAsia="仿宋"/>
          <w:sz w:val="32"/>
          <w:szCs w:val="32"/>
        </w:rPr>
      </w:pPr>
      <w:r>
        <w:rPr>
          <w:rFonts w:hint="eastAsia" w:ascii="楷体" w:hAnsi="楷体" w:eastAsia="楷体"/>
          <w:b/>
          <w:sz w:val="32"/>
          <w:szCs w:val="32"/>
        </w:rPr>
        <w:t>4. 在数量限制条件下实施行政许可的方式：</w:t>
      </w:r>
      <w:r>
        <w:rPr>
          <w:rFonts w:hint="eastAsia" w:ascii="仿宋" w:hAnsi="仿宋" w:eastAsia="仿宋"/>
          <w:sz w:val="32"/>
          <w:szCs w:val="32"/>
        </w:rPr>
        <w:t>无</w:t>
      </w:r>
    </w:p>
    <w:p w14:paraId="1E635173">
      <w:pPr>
        <w:rPr>
          <w:rFonts w:ascii="楷体" w:hAnsi="楷体" w:eastAsia="楷体"/>
          <w:b/>
          <w:sz w:val="32"/>
          <w:szCs w:val="32"/>
        </w:rPr>
      </w:pPr>
      <w:r>
        <w:rPr>
          <w:rFonts w:hint="eastAsia" w:ascii="楷体" w:hAnsi="楷体" w:eastAsia="楷体"/>
          <w:b/>
          <w:sz w:val="32"/>
          <w:szCs w:val="32"/>
        </w:rPr>
        <w:t>5. 规定在数量限制条件下实施行政许可方式的依据</w:t>
      </w:r>
    </w:p>
    <w:p w14:paraId="315F94E5">
      <w:pPr>
        <w:rPr>
          <w:rFonts w:ascii="仿宋" w:hAnsi="仿宋" w:eastAsia="仿宋"/>
          <w:sz w:val="32"/>
          <w:szCs w:val="32"/>
        </w:rPr>
      </w:pPr>
      <w:r>
        <w:rPr>
          <w:rFonts w:hint="eastAsia" w:ascii="仿宋" w:hAnsi="仿宋" w:eastAsia="仿宋"/>
          <w:sz w:val="32"/>
          <w:szCs w:val="32"/>
        </w:rPr>
        <w:t>无</w:t>
      </w:r>
    </w:p>
    <w:p w14:paraId="743E5F4D">
      <w:pPr>
        <w:rPr>
          <w:rFonts w:ascii="黑体" w:hAnsi="黑体" w:eastAsia="黑体"/>
          <w:b/>
          <w:sz w:val="32"/>
          <w:szCs w:val="32"/>
        </w:rPr>
      </w:pPr>
      <w:r>
        <w:rPr>
          <w:rFonts w:hint="eastAsia" w:ascii="黑体" w:hAnsi="黑体" w:eastAsia="黑体"/>
          <w:b/>
          <w:sz w:val="32"/>
          <w:szCs w:val="32"/>
        </w:rPr>
        <w:t>十二、行政许可后年检</w:t>
      </w:r>
    </w:p>
    <w:p w14:paraId="1D4393D5">
      <w:pPr>
        <w:rPr>
          <w:rFonts w:ascii="仿宋" w:hAnsi="仿宋" w:eastAsia="仿宋"/>
          <w:sz w:val="32"/>
          <w:szCs w:val="32"/>
        </w:rPr>
      </w:pPr>
      <w:r>
        <w:rPr>
          <w:rFonts w:hint="eastAsia" w:ascii="楷体" w:hAnsi="楷体" w:eastAsia="楷体"/>
          <w:b/>
          <w:sz w:val="32"/>
          <w:szCs w:val="32"/>
        </w:rPr>
        <w:t>1. 有无年检要求：</w:t>
      </w:r>
      <w:r>
        <w:rPr>
          <w:rFonts w:hint="eastAsia" w:ascii="仿宋" w:hAnsi="仿宋" w:eastAsia="仿宋"/>
          <w:sz w:val="32"/>
          <w:szCs w:val="32"/>
        </w:rPr>
        <w:t>无</w:t>
      </w:r>
    </w:p>
    <w:p w14:paraId="654EDAA2">
      <w:pPr>
        <w:rPr>
          <w:rFonts w:ascii="楷体" w:hAnsi="楷体" w:eastAsia="楷体"/>
          <w:b/>
          <w:sz w:val="32"/>
          <w:szCs w:val="32"/>
        </w:rPr>
      </w:pPr>
      <w:r>
        <w:rPr>
          <w:rFonts w:hint="eastAsia" w:ascii="楷体" w:hAnsi="楷体" w:eastAsia="楷体"/>
          <w:b/>
          <w:sz w:val="32"/>
          <w:szCs w:val="32"/>
        </w:rPr>
        <w:t>2. 设定年检要求的依据</w:t>
      </w:r>
    </w:p>
    <w:p w14:paraId="100F903D">
      <w:pPr>
        <w:rPr>
          <w:rFonts w:ascii="仿宋" w:hAnsi="仿宋" w:eastAsia="仿宋"/>
          <w:sz w:val="32"/>
          <w:szCs w:val="32"/>
        </w:rPr>
      </w:pPr>
      <w:r>
        <w:rPr>
          <w:rFonts w:hint="eastAsia" w:ascii="仿宋" w:hAnsi="仿宋" w:eastAsia="仿宋"/>
          <w:sz w:val="32"/>
          <w:szCs w:val="32"/>
        </w:rPr>
        <w:t>无</w:t>
      </w:r>
    </w:p>
    <w:p w14:paraId="518DE01D">
      <w:pPr>
        <w:rPr>
          <w:rFonts w:ascii="仿宋" w:hAnsi="仿宋" w:eastAsia="仿宋"/>
          <w:sz w:val="32"/>
          <w:szCs w:val="32"/>
        </w:rPr>
      </w:pPr>
      <w:r>
        <w:rPr>
          <w:rFonts w:hint="eastAsia" w:ascii="楷体" w:hAnsi="楷体" w:eastAsia="楷体"/>
          <w:b/>
          <w:sz w:val="32"/>
          <w:szCs w:val="32"/>
        </w:rPr>
        <w:t>3. 年检周期：</w:t>
      </w:r>
      <w:r>
        <w:rPr>
          <w:rFonts w:hint="eastAsia" w:ascii="仿宋" w:hAnsi="仿宋" w:eastAsia="仿宋"/>
          <w:sz w:val="32"/>
          <w:szCs w:val="32"/>
        </w:rPr>
        <w:t>无</w:t>
      </w:r>
    </w:p>
    <w:p w14:paraId="069775CA">
      <w:pPr>
        <w:rPr>
          <w:rFonts w:ascii="仿宋" w:hAnsi="仿宋" w:eastAsia="仿宋"/>
          <w:sz w:val="32"/>
          <w:szCs w:val="32"/>
        </w:rPr>
      </w:pPr>
      <w:r>
        <w:rPr>
          <w:rFonts w:hint="eastAsia" w:ascii="楷体" w:hAnsi="楷体" w:eastAsia="楷体"/>
          <w:b/>
          <w:sz w:val="32"/>
          <w:szCs w:val="32"/>
        </w:rPr>
        <w:t>4. 年检是否要求报送材料：</w:t>
      </w:r>
      <w:r>
        <w:rPr>
          <w:rFonts w:hint="eastAsia" w:ascii="仿宋" w:hAnsi="仿宋" w:eastAsia="仿宋"/>
          <w:sz w:val="32"/>
          <w:szCs w:val="32"/>
        </w:rPr>
        <w:t>无</w:t>
      </w:r>
    </w:p>
    <w:p w14:paraId="664132FB">
      <w:pPr>
        <w:rPr>
          <w:rFonts w:ascii="仿宋" w:hAnsi="仿宋" w:eastAsia="仿宋"/>
          <w:sz w:val="32"/>
          <w:szCs w:val="32"/>
        </w:rPr>
      </w:pPr>
      <w:r>
        <w:rPr>
          <w:rFonts w:hint="eastAsia" w:ascii="楷体" w:hAnsi="楷体" w:eastAsia="楷体"/>
          <w:b/>
          <w:sz w:val="32"/>
          <w:szCs w:val="32"/>
        </w:rPr>
        <w:t>5. 年检报送材料名称：</w:t>
      </w:r>
      <w:r>
        <w:rPr>
          <w:rFonts w:hint="eastAsia" w:ascii="仿宋" w:hAnsi="仿宋" w:eastAsia="仿宋"/>
          <w:sz w:val="32"/>
          <w:szCs w:val="32"/>
        </w:rPr>
        <w:t>无</w:t>
      </w:r>
    </w:p>
    <w:p w14:paraId="45528854">
      <w:pPr>
        <w:rPr>
          <w:rFonts w:ascii="仿宋" w:hAnsi="仿宋" w:eastAsia="仿宋"/>
          <w:sz w:val="32"/>
          <w:szCs w:val="32"/>
        </w:rPr>
      </w:pPr>
      <w:r>
        <w:rPr>
          <w:rFonts w:hint="eastAsia" w:ascii="楷体" w:hAnsi="楷体" w:eastAsia="楷体"/>
          <w:b/>
          <w:sz w:val="32"/>
          <w:szCs w:val="32"/>
        </w:rPr>
        <w:t>6. 年检是否收费：</w:t>
      </w:r>
      <w:r>
        <w:rPr>
          <w:rFonts w:hint="eastAsia" w:ascii="仿宋" w:hAnsi="仿宋" w:eastAsia="仿宋"/>
          <w:sz w:val="32"/>
          <w:szCs w:val="32"/>
        </w:rPr>
        <w:t>无</w:t>
      </w:r>
    </w:p>
    <w:p w14:paraId="19AFD670">
      <w:pPr>
        <w:rPr>
          <w:rFonts w:ascii="楷体" w:hAnsi="楷体" w:eastAsia="楷体"/>
          <w:b/>
          <w:sz w:val="32"/>
          <w:szCs w:val="32"/>
        </w:rPr>
      </w:pPr>
      <w:r>
        <w:rPr>
          <w:rFonts w:hint="eastAsia" w:ascii="楷体" w:hAnsi="楷体" w:eastAsia="楷体"/>
          <w:b/>
          <w:sz w:val="32"/>
          <w:szCs w:val="32"/>
        </w:rPr>
        <w:t>7. 年检收费项目的名称、 、 年检收费项目的标准、 、 设定年检收费项目的依据、规定年检项目收费标准的依据</w:t>
      </w:r>
    </w:p>
    <w:p w14:paraId="05008E30">
      <w:pPr>
        <w:rPr>
          <w:rFonts w:ascii="仿宋" w:hAnsi="仿宋" w:eastAsia="仿宋"/>
          <w:sz w:val="32"/>
          <w:szCs w:val="32"/>
        </w:rPr>
      </w:pPr>
      <w:r>
        <w:rPr>
          <w:rFonts w:hint="eastAsia" w:ascii="仿宋" w:hAnsi="仿宋" w:eastAsia="仿宋"/>
          <w:sz w:val="32"/>
          <w:szCs w:val="32"/>
        </w:rPr>
        <w:t>无</w:t>
      </w:r>
    </w:p>
    <w:p w14:paraId="13119046">
      <w:pPr>
        <w:rPr>
          <w:rFonts w:ascii="仿宋" w:hAnsi="仿宋" w:eastAsia="仿宋"/>
          <w:sz w:val="32"/>
          <w:szCs w:val="32"/>
        </w:rPr>
      </w:pPr>
      <w:r>
        <w:rPr>
          <w:rFonts w:hint="eastAsia" w:ascii="楷体" w:hAnsi="楷体" w:eastAsia="楷体"/>
          <w:b/>
          <w:sz w:val="32"/>
          <w:szCs w:val="32"/>
        </w:rPr>
        <w:t>8. 通过年检的证明或者标志：</w:t>
      </w:r>
      <w:r>
        <w:rPr>
          <w:rFonts w:hint="eastAsia" w:ascii="仿宋" w:hAnsi="仿宋" w:eastAsia="仿宋"/>
          <w:sz w:val="32"/>
          <w:szCs w:val="32"/>
        </w:rPr>
        <w:t>无</w:t>
      </w:r>
    </w:p>
    <w:p w14:paraId="1DD9AF92">
      <w:pPr>
        <w:rPr>
          <w:rFonts w:ascii="黑体" w:hAnsi="黑体" w:eastAsia="黑体"/>
          <w:b/>
          <w:sz w:val="32"/>
          <w:szCs w:val="32"/>
        </w:rPr>
      </w:pPr>
      <w:r>
        <w:rPr>
          <w:rFonts w:hint="eastAsia" w:ascii="黑体" w:hAnsi="黑体" w:eastAsia="黑体"/>
          <w:b/>
          <w:sz w:val="32"/>
          <w:szCs w:val="32"/>
        </w:rPr>
        <w:t>十三、行政许可后年报</w:t>
      </w:r>
    </w:p>
    <w:p w14:paraId="5AA86DE8">
      <w:pPr>
        <w:rPr>
          <w:rFonts w:ascii="仿宋" w:hAnsi="仿宋" w:eastAsia="仿宋"/>
          <w:sz w:val="32"/>
          <w:szCs w:val="32"/>
        </w:rPr>
      </w:pPr>
      <w:r>
        <w:rPr>
          <w:rFonts w:hint="eastAsia" w:ascii="楷体" w:hAnsi="楷体" w:eastAsia="楷体"/>
          <w:b/>
          <w:sz w:val="32"/>
          <w:szCs w:val="32"/>
        </w:rPr>
        <w:t>1. 有无年报要求 ：</w:t>
      </w:r>
      <w:r>
        <w:rPr>
          <w:rFonts w:hint="eastAsia" w:ascii="仿宋" w:hAnsi="仿宋" w:eastAsia="仿宋"/>
          <w:sz w:val="32"/>
          <w:szCs w:val="32"/>
        </w:rPr>
        <w:t>无</w:t>
      </w:r>
    </w:p>
    <w:p w14:paraId="2977FD40">
      <w:pPr>
        <w:rPr>
          <w:rFonts w:ascii="仿宋" w:hAnsi="仿宋" w:eastAsia="仿宋"/>
          <w:sz w:val="32"/>
          <w:szCs w:val="32"/>
        </w:rPr>
      </w:pPr>
      <w:r>
        <w:rPr>
          <w:rFonts w:hint="eastAsia" w:ascii="楷体" w:hAnsi="楷体" w:eastAsia="楷体"/>
          <w:b/>
          <w:sz w:val="32"/>
          <w:szCs w:val="32"/>
        </w:rPr>
        <w:t>2. 年报报送材料名称 ：</w:t>
      </w:r>
      <w:r>
        <w:rPr>
          <w:rFonts w:hint="eastAsia" w:ascii="仿宋" w:hAnsi="仿宋" w:eastAsia="仿宋"/>
          <w:sz w:val="32"/>
          <w:szCs w:val="32"/>
        </w:rPr>
        <w:t>无</w:t>
      </w:r>
    </w:p>
    <w:p w14:paraId="69F84185">
      <w:pPr>
        <w:rPr>
          <w:rFonts w:ascii="楷体" w:hAnsi="楷体" w:eastAsia="楷体"/>
          <w:b/>
          <w:sz w:val="32"/>
          <w:szCs w:val="32"/>
        </w:rPr>
      </w:pPr>
      <w:r>
        <w:rPr>
          <w:rFonts w:hint="eastAsia" w:ascii="楷体" w:hAnsi="楷体" w:eastAsia="楷体"/>
          <w:b/>
          <w:sz w:val="32"/>
          <w:szCs w:val="32"/>
        </w:rPr>
        <w:t>3. 设定年报要求的依据</w:t>
      </w:r>
    </w:p>
    <w:p w14:paraId="4DA4C510">
      <w:pPr>
        <w:rPr>
          <w:rFonts w:ascii="仿宋" w:hAnsi="仿宋" w:eastAsia="仿宋"/>
          <w:sz w:val="32"/>
          <w:szCs w:val="32"/>
        </w:rPr>
      </w:pPr>
      <w:r>
        <w:rPr>
          <w:rFonts w:hint="eastAsia" w:ascii="仿宋" w:hAnsi="仿宋" w:eastAsia="仿宋"/>
          <w:sz w:val="32"/>
          <w:szCs w:val="32"/>
        </w:rPr>
        <w:t>无</w:t>
      </w:r>
    </w:p>
    <w:p w14:paraId="27D6CAFB">
      <w:pPr>
        <w:rPr>
          <w:rFonts w:ascii="仿宋" w:hAnsi="仿宋" w:eastAsia="仿宋"/>
          <w:sz w:val="32"/>
          <w:szCs w:val="32"/>
        </w:rPr>
      </w:pPr>
      <w:r>
        <w:rPr>
          <w:rFonts w:hint="eastAsia" w:ascii="楷体" w:hAnsi="楷体" w:eastAsia="楷体"/>
          <w:b/>
          <w:sz w:val="32"/>
          <w:szCs w:val="32"/>
        </w:rPr>
        <w:t>4. 年报周期 ：</w:t>
      </w:r>
      <w:r>
        <w:rPr>
          <w:rFonts w:hint="eastAsia" w:ascii="仿宋" w:hAnsi="仿宋" w:eastAsia="仿宋"/>
          <w:sz w:val="32"/>
          <w:szCs w:val="32"/>
        </w:rPr>
        <w:t>无</w:t>
      </w:r>
    </w:p>
    <w:p w14:paraId="0362B927">
      <w:pPr>
        <w:rPr>
          <w:rFonts w:ascii="黑体" w:hAnsi="黑体" w:eastAsia="黑体"/>
          <w:b/>
          <w:sz w:val="32"/>
          <w:szCs w:val="32"/>
        </w:rPr>
      </w:pPr>
      <w:r>
        <w:rPr>
          <w:rFonts w:hint="eastAsia" w:ascii="黑体" w:hAnsi="黑体" w:eastAsia="黑体"/>
          <w:b/>
          <w:sz w:val="32"/>
          <w:szCs w:val="32"/>
        </w:rPr>
        <w:t>十四、监管主体</w:t>
      </w:r>
    </w:p>
    <w:p w14:paraId="27F6E51F">
      <w:pPr>
        <w:rPr>
          <w:rFonts w:ascii="楷体" w:hAnsi="楷体" w:eastAsia="楷体"/>
          <w:b/>
          <w:color w:val="FF0000"/>
          <w:sz w:val="32"/>
          <w:szCs w:val="32"/>
        </w:rPr>
      </w:pPr>
      <w:r>
        <w:rPr>
          <w:rFonts w:hint="eastAsia" w:ascii="楷体" w:hAnsi="楷体" w:eastAsia="楷体"/>
          <w:b/>
          <w:color w:val="FF0000"/>
          <w:sz w:val="32"/>
          <w:szCs w:val="32"/>
        </w:rPr>
        <w:t>市交通运输局</w:t>
      </w:r>
    </w:p>
    <w:p w14:paraId="2796F45F">
      <w:pPr>
        <w:rPr>
          <w:rFonts w:ascii="黑体" w:hAnsi="黑体" w:eastAsia="黑体"/>
          <w:b/>
          <w:sz w:val="32"/>
          <w:szCs w:val="32"/>
        </w:rPr>
      </w:pPr>
      <w:r>
        <w:rPr>
          <w:rFonts w:hint="eastAsia" w:ascii="黑体" w:hAnsi="黑体" w:eastAsia="黑体"/>
          <w:b/>
          <w:sz w:val="32"/>
          <w:szCs w:val="32"/>
        </w:rPr>
        <w:t>十五、备注</w:t>
      </w:r>
    </w:p>
    <w:p w14:paraId="12CDDE5D">
      <w:pPr>
        <w:rPr>
          <w:rFonts w:ascii="仿宋" w:hAnsi="仿宋" w:eastAsia="仿宋"/>
          <w:sz w:val="32"/>
          <w:szCs w:val="32"/>
        </w:rPr>
      </w:pPr>
    </w:p>
    <w:p w14:paraId="584519E5">
      <w:pPr>
        <w:rPr>
          <w:rFonts w:ascii="仿宋" w:hAnsi="仿宋" w:eastAsia="仿宋"/>
          <w:sz w:val="32"/>
          <w:szCs w:val="32"/>
        </w:rPr>
      </w:pPr>
    </w:p>
    <w:p w14:paraId="29989E0E">
      <w:pPr>
        <w:rPr>
          <w:rFonts w:ascii="仿宋" w:hAnsi="仿宋" w:eastAsia="仿宋"/>
          <w:sz w:val="32"/>
          <w:szCs w:val="32"/>
        </w:rPr>
      </w:pPr>
    </w:p>
    <w:p w14:paraId="61F85010">
      <w:pPr>
        <w:rPr>
          <w:rFonts w:ascii="仿宋" w:hAnsi="仿宋" w:eastAsia="仿宋"/>
          <w:sz w:val="32"/>
          <w:szCs w:val="32"/>
        </w:rPr>
      </w:pPr>
    </w:p>
    <w:p w14:paraId="26F80A26">
      <w:pPr>
        <w:rPr>
          <w:rFonts w:ascii="仿宋" w:hAnsi="仿宋" w:eastAsia="仿宋"/>
          <w:sz w:val="32"/>
          <w:szCs w:val="32"/>
        </w:rPr>
      </w:pPr>
    </w:p>
    <w:p w14:paraId="1F07B35C">
      <w:pPr>
        <w:rPr>
          <w:rFonts w:ascii="仿宋" w:hAnsi="仿宋" w:eastAsia="仿宋"/>
          <w:sz w:val="32"/>
          <w:szCs w:val="32"/>
        </w:rPr>
      </w:pPr>
    </w:p>
    <w:p w14:paraId="5D37C32F">
      <w:pPr>
        <w:rPr>
          <w:rFonts w:ascii="仿宋" w:hAnsi="仿宋" w:eastAsia="仿宋"/>
          <w:sz w:val="32"/>
          <w:szCs w:val="32"/>
        </w:rPr>
      </w:pPr>
    </w:p>
    <w:p w14:paraId="3773D0FB">
      <w:pPr>
        <w:rPr>
          <w:rFonts w:ascii="仿宋" w:hAnsi="仿宋" w:eastAsia="仿宋"/>
          <w:sz w:val="32"/>
          <w:szCs w:val="32"/>
        </w:rPr>
      </w:pPr>
    </w:p>
    <w:p w14:paraId="65AED02A">
      <w:pPr>
        <w:rPr>
          <w:rFonts w:ascii="仿宋" w:hAnsi="仿宋" w:eastAsia="仿宋"/>
          <w:sz w:val="32"/>
          <w:szCs w:val="32"/>
        </w:rPr>
      </w:pPr>
    </w:p>
    <w:p w14:paraId="0C5A4577">
      <w:pPr>
        <w:rPr>
          <w:rFonts w:ascii="仿宋" w:hAnsi="仿宋" w:eastAsia="仿宋"/>
          <w:sz w:val="32"/>
          <w:szCs w:val="32"/>
        </w:rPr>
      </w:pPr>
    </w:p>
    <w:p w14:paraId="767DAC43">
      <w:pPr>
        <w:rPr>
          <w:rFonts w:ascii="仿宋" w:hAnsi="仿宋" w:eastAsia="仿宋"/>
          <w:sz w:val="32"/>
          <w:szCs w:val="32"/>
        </w:rPr>
      </w:pPr>
    </w:p>
    <w:p w14:paraId="08DDBD6D">
      <w:pPr>
        <w:rPr>
          <w:rFonts w:ascii="仿宋" w:hAnsi="仿宋" w:eastAsia="仿宋"/>
          <w:sz w:val="32"/>
          <w:szCs w:val="32"/>
        </w:rPr>
      </w:pPr>
    </w:p>
    <w:p w14:paraId="0CC1DDA8">
      <w:pPr>
        <w:rPr>
          <w:rFonts w:ascii="仿宋" w:hAnsi="仿宋" w:eastAsia="仿宋"/>
          <w:sz w:val="32"/>
          <w:szCs w:val="32"/>
        </w:rPr>
      </w:pPr>
    </w:p>
    <w:p w14:paraId="6F6F66F5">
      <w:pPr>
        <w:rPr>
          <w:rFonts w:ascii="仿宋" w:hAnsi="仿宋" w:eastAsia="仿宋"/>
          <w:sz w:val="32"/>
          <w:szCs w:val="32"/>
        </w:rPr>
      </w:pPr>
    </w:p>
    <w:p w14:paraId="47CC432C">
      <w:pPr>
        <w:rPr>
          <w:rFonts w:ascii="仿宋" w:hAnsi="仿宋" w:eastAsia="仿宋"/>
          <w:sz w:val="32"/>
          <w:szCs w:val="32"/>
        </w:rPr>
      </w:pPr>
    </w:p>
    <w:p w14:paraId="2864F628">
      <w:pPr>
        <w:rPr>
          <w:rFonts w:ascii="仿宋" w:hAnsi="仿宋" w:eastAsia="仿宋"/>
          <w:sz w:val="32"/>
          <w:szCs w:val="32"/>
        </w:rPr>
      </w:pPr>
    </w:p>
    <w:p w14:paraId="1AA8EDA7">
      <w:pPr>
        <w:rPr>
          <w:rFonts w:ascii="仿宋" w:hAnsi="仿宋" w:eastAsia="仿宋"/>
          <w:sz w:val="32"/>
          <w:szCs w:val="32"/>
        </w:rPr>
      </w:pPr>
    </w:p>
    <w:p w14:paraId="56A30353">
      <w:pPr>
        <w:rPr>
          <w:rFonts w:ascii="仿宋" w:hAnsi="仿宋" w:eastAsia="仿宋"/>
          <w:sz w:val="32"/>
          <w:szCs w:val="32"/>
        </w:rPr>
      </w:pPr>
    </w:p>
    <w:p w14:paraId="2EF0E10D">
      <w:pPr>
        <w:rPr>
          <w:rFonts w:ascii="仿宋" w:hAnsi="仿宋" w:eastAsia="仿宋"/>
          <w:sz w:val="32"/>
          <w:szCs w:val="32"/>
        </w:rPr>
      </w:pPr>
    </w:p>
    <w:p w14:paraId="301C0C6B">
      <w:pPr>
        <w:rPr>
          <w:rFonts w:ascii="仿宋" w:hAnsi="仿宋" w:eastAsia="仿宋"/>
          <w:sz w:val="32"/>
          <w:szCs w:val="32"/>
        </w:rPr>
      </w:pPr>
    </w:p>
    <w:p w14:paraId="23B7D6F9">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在区、县范围内进行公路超限运输许可</w:t>
      </w:r>
    </w:p>
    <w:p w14:paraId="556CE40E">
      <w:pPr>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【000118206004】</w:t>
      </w:r>
    </w:p>
    <w:p w14:paraId="355469A4">
      <w:pPr>
        <w:rPr>
          <w:rFonts w:ascii="黑体" w:hAnsi="黑体" w:eastAsia="黑体"/>
          <w:b/>
          <w:sz w:val="32"/>
          <w:szCs w:val="32"/>
        </w:rPr>
      </w:pPr>
      <w:r>
        <w:rPr>
          <w:rFonts w:hint="eastAsia" w:ascii="黑体" w:hAnsi="黑体" w:eastAsia="黑体"/>
          <w:b/>
          <w:sz w:val="32"/>
          <w:szCs w:val="32"/>
        </w:rPr>
        <w:t>一、基本要素</w:t>
      </w:r>
    </w:p>
    <w:p w14:paraId="4B0E5001">
      <w:pPr>
        <w:rPr>
          <w:rFonts w:ascii="楷体" w:hAnsi="楷体" w:eastAsia="楷体"/>
          <w:b/>
          <w:sz w:val="32"/>
          <w:szCs w:val="32"/>
        </w:rPr>
      </w:pPr>
      <w:r>
        <w:rPr>
          <w:rFonts w:hint="eastAsia" w:ascii="楷体" w:hAnsi="楷体" w:eastAsia="楷体"/>
          <w:b/>
          <w:sz w:val="32"/>
          <w:szCs w:val="32"/>
        </w:rPr>
        <w:t>1. 行政许可事项名称 及编码</w:t>
      </w:r>
    </w:p>
    <w:p w14:paraId="7B85D504">
      <w:pPr>
        <w:rPr>
          <w:rFonts w:ascii="仿宋" w:hAnsi="仿宋" w:eastAsia="仿宋"/>
          <w:sz w:val="32"/>
          <w:szCs w:val="32"/>
        </w:rPr>
      </w:pPr>
      <w:r>
        <w:rPr>
          <w:rFonts w:hint="eastAsia" w:ascii="仿宋" w:hAnsi="仿宋" w:eastAsia="仿宋"/>
          <w:sz w:val="32"/>
          <w:szCs w:val="32"/>
        </w:rPr>
        <w:t>公路超限运输许可【00011820600Y】</w:t>
      </w:r>
    </w:p>
    <w:p w14:paraId="484A9989">
      <w:pPr>
        <w:rPr>
          <w:rFonts w:ascii="楷体" w:hAnsi="楷体" w:eastAsia="楷体"/>
          <w:b/>
          <w:sz w:val="32"/>
          <w:szCs w:val="32"/>
        </w:rPr>
      </w:pPr>
      <w:r>
        <w:rPr>
          <w:rFonts w:hint="eastAsia" w:ascii="楷体" w:hAnsi="楷体" w:eastAsia="楷体"/>
          <w:b/>
          <w:sz w:val="32"/>
          <w:szCs w:val="32"/>
        </w:rPr>
        <w:t>2. 行政许可 事项子项名称及编码</w:t>
      </w:r>
    </w:p>
    <w:p w14:paraId="27C212E1">
      <w:pPr>
        <w:rPr>
          <w:rFonts w:ascii="仿宋" w:hAnsi="仿宋" w:eastAsia="仿宋"/>
          <w:sz w:val="32"/>
          <w:szCs w:val="32"/>
        </w:rPr>
      </w:pPr>
      <w:r>
        <w:rPr>
          <w:rFonts w:hint="eastAsia" w:ascii="仿宋" w:hAnsi="仿宋" w:eastAsia="仿宋"/>
          <w:sz w:val="32"/>
          <w:szCs w:val="32"/>
        </w:rPr>
        <w:t>在区、县范围内进行公路超限运输许可【000118206004】</w:t>
      </w:r>
    </w:p>
    <w:p w14:paraId="436E21CF">
      <w:pPr>
        <w:rPr>
          <w:rFonts w:ascii="楷体" w:hAnsi="楷体" w:eastAsia="楷体"/>
          <w:b/>
          <w:sz w:val="32"/>
          <w:szCs w:val="32"/>
        </w:rPr>
      </w:pPr>
      <w:r>
        <w:rPr>
          <w:rFonts w:hint="eastAsia" w:ascii="楷体" w:hAnsi="楷体" w:eastAsia="楷体"/>
          <w:b/>
          <w:sz w:val="32"/>
          <w:szCs w:val="32"/>
        </w:rPr>
        <w:t>3. 行政许可事项业务办</w:t>
      </w:r>
      <w:r>
        <w:rPr>
          <w:rFonts w:hint="eastAsia" w:ascii="楷体" w:hAnsi="楷体" w:eastAsia="楷体"/>
          <w:b/>
          <w:sz w:val="32"/>
          <w:szCs w:val="32"/>
          <w:lang w:eastAsia="zh-CN"/>
        </w:rPr>
        <w:t>理事</w:t>
      </w:r>
      <w:r>
        <w:rPr>
          <w:rFonts w:hint="eastAsia" w:ascii="楷体" w:hAnsi="楷体" w:eastAsia="楷体"/>
          <w:b/>
          <w:sz w:val="32"/>
          <w:szCs w:val="32"/>
        </w:rPr>
        <w:t>项名称及编码</w:t>
      </w:r>
    </w:p>
    <w:p w14:paraId="077C37AB">
      <w:pPr>
        <w:rPr>
          <w:rFonts w:ascii="仿宋" w:hAnsi="仿宋" w:eastAsia="仿宋"/>
          <w:sz w:val="32"/>
          <w:szCs w:val="32"/>
        </w:rPr>
      </w:pPr>
      <w:r>
        <w:rPr>
          <w:rFonts w:hint="eastAsia" w:ascii="仿宋" w:hAnsi="仿宋" w:eastAsia="仿宋"/>
          <w:sz w:val="32"/>
          <w:szCs w:val="32"/>
        </w:rPr>
        <w:t>1.在区、县范围内进行公路超限运输许可(00011820600401)</w:t>
      </w:r>
    </w:p>
    <w:p w14:paraId="0D8442E1">
      <w:pPr>
        <w:rPr>
          <w:rFonts w:ascii="楷体" w:hAnsi="楷体" w:eastAsia="楷体"/>
          <w:b/>
          <w:sz w:val="32"/>
          <w:szCs w:val="32"/>
        </w:rPr>
      </w:pPr>
      <w:r>
        <w:rPr>
          <w:rFonts w:hint="eastAsia" w:ascii="楷体" w:hAnsi="楷体" w:eastAsia="楷体"/>
          <w:b/>
          <w:sz w:val="32"/>
          <w:szCs w:val="32"/>
        </w:rPr>
        <w:t>4. 设定依据</w:t>
      </w:r>
    </w:p>
    <w:p w14:paraId="1E3064ED">
      <w:pPr>
        <w:rPr>
          <w:rFonts w:ascii="仿宋" w:hAnsi="仿宋" w:eastAsia="仿宋"/>
          <w:sz w:val="32"/>
          <w:szCs w:val="32"/>
        </w:rPr>
      </w:pPr>
      <w:r>
        <w:rPr>
          <w:rFonts w:hint="eastAsia" w:ascii="仿宋" w:hAnsi="仿宋" w:eastAsia="仿宋"/>
          <w:sz w:val="32"/>
          <w:szCs w:val="32"/>
        </w:rPr>
        <w:t>（1）《中华人民共和国公路法》第五十条</w:t>
      </w:r>
    </w:p>
    <w:p w14:paraId="7F4A9771">
      <w:pPr>
        <w:rPr>
          <w:rFonts w:ascii="仿宋" w:hAnsi="仿宋" w:eastAsia="仿宋"/>
          <w:sz w:val="32"/>
          <w:szCs w:val="32"/>
        </w:rPr>
      </w:pPr>
      <w:r>
        <w:rPr>
          <w:rFonts w:hint="eastAsia" w:ascii="仿宋" w:hAnsi="仿宋" w:eastAsia="仿宋"/>
          <w:sz w:val="32"/>
          <w:szCs w:val="32"/>
        </w:rPr>
        <w:t>（2）《公路安全保护条例》第三十五条</w:t>
      </w:r>
    </w:p>
    <w:p w14:paraId="63F985F2">
      <w:pPr>
        <w:rPr>
          <w:rFonts w:ascii="楷体" w:hAnsi="楷体" w:eastAsia="楷体"/>
          <w:b/>
          <w:sz w:val="32"/>
          <w:szCs w:val="32"/>
        </w:rPr>
      </w:pPr>
      <w:r>
        <w:rPr>
          <w:rFonts w:hint="eastAsia" w:ascii="楷体" w:hAnsi="楷体" w:eastAsia="楷体"/>
          <w:b/>
          <w:sz w:val="32"/>
          <w:szCs w:val="32"/>
        </w:rPr>
        <w:t>5. 实施依据</w:t>
      </w:r>
    </w:p>
    <w:p w14:paraId="12A50C3A">
      <w:pPr>
        <w:rPr>
          <w:rFonts w:ascii="仿宋" w:hAnsi="仿宋" w:eastAsia="仿宋"/>
          <w:sz w:val="32"/>
          <w:szCs w:val="32"/>
        </w:rPr>
      </w:pPr>
      <w:r>
        <w:rPr>
          <w:rFonts w:hint="eastAsia" w:ascii="仿宋" w:hAnsi="仿宋" w:eastAsia="仿宋"/>
          <w:sz w:val="32"/>
          <w:szCs w:val="32"/>
        </w:rPr>
        <w:t>（1）《公路安全保护条例》第三十六条</w:t>
      </w:r>
    </w:p>
    <w:p w14:paraId="51A8D486">
      <w:pPr>
        <w:rPr>
          <w:rFonts w:ascii="仿宋" w:hAnsi="仿宋" w:eastAsia="仿宋"/>
          <w:sz w:val="32"/>
          <w:szCs w:val="32"/>
        </w:rPr>
      </w:pPr>
      <w:r>
        <w:rPr>
          <w:rFonts w:hint="eastAsia" w:ascii="仿宋" w:hAnsi="仿宋" w:eastAsia="仿宋"/>
          <w:sz w:val="32"/>
          <w:szCs w:val="32"/>
        </w:rPr>
        <w:t>（2）《超限运输车辆行驶公路管理规定》（交通运输部令 2021</w:t>
      </w:r>
    </w:p>
    <w:p w14:paraId="159DD839">
      <w:pPr>
        <w:rPr>
          <w:rFonts w:ascii="仿宋" w:hAnsi="仿宋" w:eastAsia="仿宋"/>
          <w:sz w:val="32"/>
          <w:szCs w:val="32"/>
        </w:rPr>
      </w:pPr>
      <w:r>
        <w:rPr>
          <w:rFonts w:hint="eastAsia" w:ascii="仿宋" w:hAnsi="仿宋" w:eastAsia="仿宋"/>
          <w:sz w:val="32"/>
          <w:szCs w:val="32"/>
          <w:lang w:eastAsia="zh-CN"/>
        </w:rPr>
        <w:t>第</w:t>
      </w:r>
      <w:r>
        <w:rPr>
          <w:rFonts w:hint="eastAsia" w:ascii="仿宋" w:hAnsi="仿宋" w:eastAsia="仿宋"/>
          <w:sz w:val="32"/>
          <w:szCs w:val="32"/>
        </w:rPr>
        <w:t xml:space="preserve"> 12 号）第十九条</w:t>
      </w:r>
    </w:p>
    <w:p w14:paraId="16D43D2E">
      <w:pPr>
        <w:rPr>
          <w:rFonts w:ascii="楷体" w:hAnsi="楷体" w:eastAsia="楷体"/>
          <w:b/>
          <w:sz w:val="32"/>
          <w:szCs w:val="32"/>
        </w:rPr>
      </w:pPr>
      <w:r>
        <w:rPr>
          <w:rFonts w:hint="eastAsia" w:ascii="楷体" w:hAnsi="楷体" w:eastAsia="楷体"/>
          <w:b/>
          <w:sz w:val="32"/>
          <w:szCs w:val="32"/>
        </w:rPr>
        <w:t>6. 监管依据</w:t>
      </w:r>
    </w:p>
    <w:p w14:paraId="076B2642">
      <w:pPr>
        <w:rPr>
          <w:rFonts w:ascii="仿宋" w:hAnsi="仿宋" w:eastAsia="仿宋"/>
          <w:sz w:val="32"/>
          <w:szCs w:val="32"/>
        </w:rPr>
      </w:pPr>
      <w:r>
        <w:rPr>
          <w:rFonts w:hint="eastAsia" w:ascii="仿宋" w:hAnsi="仿宋" w:eastAsia="仿宋"/>
          <w:sz w:val="32"/>
          <w:szCs w:val="32"/>
        </w:rPr>
        <w:t>（1）《中华人民共和国公路法》第七十六条</w:t>
      </w:r>
    </w:p>
    <w:p w14:paraId="14094097">
      <w:pPr>
        <w:rPr>
          <w:rFonts w:ascii="仿宋" w:hAnsi="仿宋" w:eastAsia="仿宋"/>
          <w:sz w:val="32"/>
          <w:szCs w:val="32"/>
        </w:rPr>
      </w:pPr>
      <w:r>
        <w:rPr>
          <w:rFonts w:hint="eastAsia" w:ascii="仿宋" w:hAnsi="仿宋" w:eastAsia="仿宋"/>
          <w:sz w:val="32"/>
          <w:szCs w:val="32"/>
        </w:rPr>
        <w:t>（2）《公路安全保护条例》第三十七条、第三十八条、第六</w:t>
      </w:r>
      <w:r>
        <w:rPr>
          <w:rFonts w:hint="eastAsia" w:ascii="仿宋" w:hAnsi="仿宋" w:eastAsia="仿宋"/>
          <w:sz w:val="32"/>
          <w:szCs w:val="32"/>
          <w:lang w:eastAsia="zh-CN"/>
        </w:rPr>
        <w:t>十条</w:t>
      </w:r>
    </w:p>
    <w:p w14:paraId="345BE1FC">
      <w:pPr>
        <w:rPr>
          <w:rFonts w:ascii="仿宋" w:hAnsi="仿宋" w:eastAsia="仿宋"/>
          <w:sz w:val="32"/>
          <w:szCs w:val="32"/>
        </w:rPr>
      </w:pPr>
      <w:r>
        <w:rPr>
          <w:rFonts w:hint="eastAsia" w:ascii="仿宋" w:hAnsi="仿宋" w:eastAsia="仿宋"/>
          <w:sz w:val="32"/>
          <w:szCs w:val="32"/>
        </w:rPr>
        <w:t>四条</w:t>
      </w:r>
    </w:p>
    <w:p w14:paraId="78A78B5D">
      <w:pPr>
        <w:rPr>
          <w:rFonts w:ascii="仿宋" w:hAnsi="仿宋" w:eastAsia="仿宋"/>
          <w:sz w:val="32"/>
          <w:szCs w:val="32"/>
        </w:rPr>
      </w:pPr>
      <w:r>
        <w:rPr>
          <w:rFonts w:hint="eastAsia" w:ascii="仿宋" w:hAnsi="仿宋" w:eastAsia="仿宋"/>
          <w:sz w:val="32"/>
          <w:szCs w:val="32"/>
        </w:rPr>
        <w:t>（3）《超限运输车辆行驶公路管理规定》（交通运输部令 2021</w:t>
      </w:r>
    </w:p>
    <w:p w14:paraId="0388E9A3">
      <w:pPr>
        <w:rPr>
          <w:rFonts w:ascii="仿宋" w:hAnsi="仿宋" w:eastAsia="仿宋"/>
          <w:sz w:val="32"/>
          <w:szCs w:val="32"/>
        </w:rPr>
      </w:pPr>
      <w:r>
        <w:rPr>
          <w:rFonts w:hint="eastAsia" w:ascii="仿宋" w:hAnsi="仿宋" w:eastAsia="仿宋"/>
          <w:sz w:val="32"/>
          <w:szCs w:val="32"/>
        </w:rPr>
        <w:t>年第 12 号）第二十一条、第四十三条、第四十五条、第四十七条</w:t>
      </w:r>
    </w:p>
    <w:p w14:paraId="6FAB3634">
      <w:pPr>
        <w:rPr>
          <w:rFonts w:ascii="仿宋" w:hAnsi="仿宋" w:eastAsia="仿宋"/>
          <w:color w:val="FF0000"/>
          <w:sz w:val="32"/>
          <w:szCs w:val="32"/>
        </w:rPr>
      </w:pPr>
      <w:r>
        <w:rPr>
          <w:rFonts w:hint="eastAsia" w:ascii="楷体" w:hAnsi="楷体" w:eastAsia="楷体"/>
          <w:b/>
          <w:sz w:val="32"/>
          <w:szCs w:val="32"/>
        </w:rPr>
        <w:t>7. 实施机关 ：</w:t>
      </w:r>
      <w:r>
        <w:rPr>
          <w:rFonts w:hint="eastAsia" w:ascii="仿宋" w:hAnsi="仿宋" w:eastAsia="仿宋"/>
          <w:color w:val="FF0000"/>
          <w:sz w:val="32"/>
          <w:szCs w:val="32"/>
        </w:rPr>
        <w:t>县（区）交通运输部门</w:t>
      </w:r>
    </w:p>
    <w:p w14:paraId="10B7900C">
      <w:pPr>
        <w:rPr>
          <w:rFonts w:ascii="仿宋" w:hAnsi="仿宋" w:eastAsia="仿宋"/>
          <w:sz w:val="32"/>
          <w:szCs w:val="32"/>
        </w:rPr>
      </w:pPr>
      <w:r>
        <w:rPr>
          <w:rFonts w:hint="eastAsia" w:ascii="楷体" w:hAnsi="楷体" w:eastAsia="楷体"/>
          <w:b/>
          <w:sz w:val="32"/>
          <w:szCs w:val="32"/>
        </w:rPr>
        <w:t>8. 审批层级 ：</w:t>
      </w:r>
      <w:r>
        <w:rPr>
          <w:rFonts w:hint="eastAsia" w:ascii="仿宋" w:hAnsi="仿宋" w:eastAsia="仿宋"/>
          <w:sz w:val="32"/>
          <w:szCs w:val="32"/>
        </w:rPr>
        <w:t>县级</w:t>
      </w:r>
    </w:p>
    <w:p w14:paraId="747C8532">
      <w:pPr>
        <w:rPr>
          <w:rFonts w:ascii="仿宋" w:hAnsi="仿宋" w:eastAsia="仿宋"/>
          <w:sz w:val="32"/>
          <w:szCs w:val="32"/>
        </w:rPr>
      </w:pPr>
      <w:r>
        <w:rPr>
          <w:rFonts w:hint="eastAsia" w:ascii="楷体" w:hAnsi="楷体" w:eastAsia="楷体"/>
          <w:b/>
          <w:sz w:val="32"/>
          <w:szCs w:val="32"/>
        </w:rPr>
        <w:t>9. 行使层级 ：</w:t>
      </w:r>
      <w:r>
        <w:rPr>
          <w:rFonts w:hint="eastAsia" w:ascii="仿宋" w:hAnsi="仿宋" w:eastAsia="仿宋"/>
          <w:sz w:val="32"/>
          <w:szCs w:val="32"/>
        </w:rPr>
        <w:t>县级</w:t>
      </w:r>
    </w:p>
    <w:p w14:paraId="5FFBEBF1">
      <w:pPr>
        <w:rPr>
          <w:rFonts w:ascii="仿宋" w:hAnsi="仿宋" w:eastAsia="仿宋"/>
          <w:sz w:val="32"/>
          <w:szCs w:val="32"/>
        </w:rPr>
      </w:pPr>
      <w:r>
        <w:rPr>
          <w:rFonts w:hint="eastAsia" w:ascii="楷体" w:hAnsi="楷体" w:eastAsia="楷体"/>
          <w:b/>
          <w:sz w:val="32"/>
          <w:szCs w:val="32"/>
        </w:rPr>
        <w:t>10. 是否由审批机关受理 ：</w:t>
      </w:r>
      <w:r>
        <w:rPr>
          <w:rFonts w:hint="eastAsia" w:ascii="仿宋" w:hAnsi="仿宋" w:eastAsia="仿宋"/>
          <w:sz w:val="32"/>
          <w:szCs w:val="32"/>
        </w:rPr>
        <w:t>是</w:t>
      </w:r>
    </w:p>
    <w:p w14:paraId="20BEDF83">
      <w:pPr>
        <w:rPr>
          <w:rFonts w:ascii="仿宋" w:hAnsi="仿宋" w:eastAsia="仿宋"/>
          <w:sz w:val="32"/>
          <w:szCs w:val="32"/>
        </w:rPr>
      </w:pPr>
      <w:r>
        <w:rPr>
          <w:rFonts w:hint="eastAsia" w:ascii="楷体" w:hAnsi="楷体" w:eastAsia="楷体"/>
          <w:b/>
          <w:sz w:val="32"/>
          <w:szCs w:val="32"/>
        </w:rPr>
        <w:t>11. 受理层级 ：</w:t>
      </w:r>
      <w:r>
        <w:rPr>
          <w:rFonts w:hint="eastAsia" w:ascii="仿宋" w:hAnsi="仿宋" w:eastAsia="仿宋"/>
          <w:sz w:val="32"/>
          <w:szCs w:val="32"/>
        </w:rPr>
        <w:t>县级</w:t>
      </w:r>
    </w:p>
    <w:p w14:paraId="6C64E08E">
      <w:pPr>
        <w:rPr>
          <w:rFonts w:ascii="仿宋" w:hAnsi="仿宋" w:eastAsia="仿宋"/>
          <w:sz w:val="32"/>
          <w:szCs w:val="32"/>
        </w:rPr>
      </w:pPr>
      <w:r>
        <w:rPr>
          <w:rFonts w:hint="eastAsia" w:ascii="楷体" w:hAnsi="楷体" w:eastAsia="楷体"/>
          <w:b/>
          <w:sz w:val="32"/>
          <w:szCs w:val="32"/>
        </w:rPr>
        <w:t>12. 是否存在初审环节 ：</w:t>
      </w:r>
      <w:r>
        <w:rPr>
          <w:rFonts w:hint="eastAsia" w:ascii="仿宋" w:hAnsi="仿宋" w:eastAsia="仿宋"/>
          <w:sz w:val="32"/>
          <w:szCs w:val="32"/>
        </w:rPr>
        <w:t>否</w:t>
      </w:r>
    </w:p>
    <w:p w14:paraId="3DBADBFF">
      <w:pPr>
        <w:rPr>
          <w:rFonts w:ascii="仿宋" w:hAnsi="仿宋" w:eastAsia="仿宋"/>
          <w:sz w:val="32"/>
          <w:szCs w:val="32"/>
        </w:rPr>
      </w:pPr>
      <w:r>
        <w:rPr>
          <w:rFonts w:hint="eastAsia" w:ascii="楷体" w:hAnsi="楷体" w:eastAsia="楷体"/>
          <w:b/>
          <w:sz w:val="32"/>
          <w:szCs w:val="32"/>
        </w:rPr>
        <w:t>13. 初审层级 ：</w:t>
      </w:r>
      <w:r>
        <w:rPr>
          <w:rFonts w:hint="eastAsia" w:ascii="仿宋" w:hAnsi="仿宋" w:eastAsia="仿宋"/>
          <w:sz w:val="32"/>
          <w:szCs w:val="32"/>
        </w:rPr>
        <w:t>无</w:t>
      </w:r>
    </w:p>
    <w:p w14:paraId="6DE39AD2">
      <w:pPr>
        <w:rPr>
          <w:rFonts w:ascii="仿宋" w:hAnsi="仿宋" w:eastAsia="仿宋"/>
          <w:sz w:val="32"/>
          <w:szCs w:val="32"/>
        </w:rPr>
      </w:pPr>
      <w:r>
        <w:rPr>
          <w:rFonts w:hint="eastAsia" w:ascii="楷体" w:hAnsi="楷体" w:eastAsia="楷体"/>
          <w:b/>
          <w:sz w:val="32"/>
          <w:szCs w:val="32"/>
        </w:rPr>
        <w:t>14. 对应政务服务事项国家级基本目录名称 ：</w:t>
      </w:r>
      <w:r>
        <w:rPr>
          <w:rFonts w:hint="eastAsia" w:ascii="仿宋" w:hAnsi="仿宋" w:eastAsia="仿宋"/>
          <w:sz w:val="32"/>
          <w:szCs w:val="32"/>
        </w:rPr>
        <w:t>公路超限运输许可</w:t>
      </w:r>
    </w:p>
    <w:p w14:paraId="7AE9C280">
      <w:pPr>
        <w:rPr>
          <w:rFonts w:ascii="仿宋" w:hAnsi="仿宋" w:eastAsia="仿宋"/>
          <w:sz w:val="32"/>
          <w:szCs w:val="32"/>
        </w:rPr>
      </w:pPr>
      <w:r>
        <w:rPr>
          <w:rFonts w:hint="eastAsia" w:ascii="楷体" w:hAnsi="楷体" w:eastAsia="楷体"/>
          <w:b/>
          <w:sz w:val="32"/>
          <w:szCs w:val="32"/>
        </w:rPr>
        <w:t>15. 要素统一情况：</w:t>
      </w:r>
      <w:r>
        <w:rPr>
          <w:rFonts w:hint="eastAsia" w:ascii="仿宋" w:hAnsi="仿宋" w:eastAsia="仿宋"/>
          <w:sz w:val="32"/>
          <w:szCs w:val="32"/>
        </w:rPr>
        <w:t>全部要素全国统一</w:t>
      </w:r>
    </w:p>
    <w:p w14:paraId="2DFD3164">
      <w:pPr>
        <w:rPr>
          <w:rFonts w:ascii="黑体" w:hAnsi="黑体" w:eastAsia="黑体"/>
          <w:b/>
          <w:sz w:val="32"/>
          <w:szCs w:val="32"/>
        </w:rPr>
      </w:pPr>
      <w:r>
        <w:rPr>
          <w:rFonts w:hint="eastAsia" w:ascii="黑体" w:hAnsi="黑体" w:eastAsia="黑体"/>
          <w:b/>
          <w:sz w:val="32"/>
          <w:szCs w:val="32"/>
        </w:rPr>
        <w:t>二、行政许可事项类型</w:t>
      </w:r>
    </w:p>
    <w:p w14:paraId="04480CFB">
      <w:pPr>
        <w:rPr>
          <w:rFonts w:ascii="仿宋" w:hAnsi="仿宋" w:eastAsia="仿宋"/>
          <w:sz w:val="32"/>
          <w:szCs w:val="32"/>
        </w:rPr>
      </w:pPr>
      <w:r>
        <w:rPr>
          <w:rFonts w:hint="eastAsia" w:ascii="仿宋" w:hAnsi="仿宋" w:eastAsia="仿宋"/>
          <w:sz w:val="32"/>
          <w:szCs w:val="32"/>
        </w:rPr>
        <w:t>条件型</w:t>
      </w:r>
    </w:p>
    <w:p w14:paraId="0A0FEA2E">
      <w:pPr>
        <w:rPr>
          <w:rFonts w:ascii="黑体" w:hAnsi="黑体" w:eastAsia="黑体"/>
          <w:b/>
          <w:sz w:val="32"/>
          <w:szCs w:val="32"/>
        </w:rPr>
      </w:pPr>
      <w:r>
        <w:rPr>
          <w:rFonts w:hint="eastAsia" w:ascii="黑体" w:hAnsi="黑体" w:eastAsia="黑体"/>
          <w:b/>
          <w:sz w:val="32"/>
          <w:szCs w:val="32"/>
        </w:rPr>
        <w:t>三、行政许可条件</w:t>
      </w:r>
    </w:p>
    <w:p w14:paraId="2D70D5FA">
      <w:pPr>
        <w:rPr>
          <w:rFonts w:ascii="楷体" w:hAnsi="楷体" w:eastAsia="楷体"/>
          <w:b/>
          <w:sz w:val="32"/>
          <w:szCs w:val="32"/>
        </w:rPr>
      </w:pPr>
      <w:r>
        <w:rPr>
          <w:rFonts w:hint="eastAsia" w:ascii="楷体" w:hAnsi="楷体" w:eastAsia="楷体"/>
          <w:b/>
          <w:sz w:val="32"/>
          <w:szCs w:val="32"/>
        </w:rPr>
        <w:t>1. 准予行政许可的条件</w:t>
      </w:r>
    </w:p>
    <w:p w14:paraId="1F908CC9">
      <w:pPr>
        <w:rPr>
          <w:rFonts w:ascii="仿宋" w:hAnsi="仿宋" w:eastAsia="仿宋"/>
          <w:sz w:val="32"/>
          <w:szCs w:val="32"/>
        </w:rPr>
      </w:pPr>
      <w:r>
        <w:rPr>
          <w:rFonts w:hint="eastAsia" w:ascii="仿宋" w:hAnsi="仿宋" w:eastAsia="仿宋"/>
          <w:sz w:val="32"/>
          <w:szCs w:val="32"/>
        </w:rPr>
        <w:t>1.运输的货物为不可解体物品；</w:t>
      </w:r>
    </w:p>
    <w:p w14:paraId="4A1724FA">
      <w:pPr>
        <w:rPr>
          <w:rFonts w:ascii="仿宋" w:hAnsi="仿宋" w:eastAsia="仿宋"/>
          <w:sz w:val="32"/>
          <w:szCs w:val="32"/>
        </w:rPr>
      </w:pPr>
      <w:r>
        <w:rPr>
          <w:rFonts w:hint="eastAsia" w:ascii="仿宋" w:hAnsi="仿宋" w:eastAsia="仿宋"/>
          <w:sz w:val="32"/>
          <w:szCs w:val="32"/>
        </w:rPr>
        <w:t>2.承运人具有大型物件运输经营资质的道路运输经营资格；</w:t>
      </w:r>
    </w:p>
    <w:p w14:paraId="4BFBDE90">
      <w:pPr>
        <w:rPr>
          <w:rFonts w:ascii="仿宋" w:hAnsi="仿宋" w:eastAsia="仿宋"/>
          <w:sz w:val="32"/>
          <w:szCs w:val="32"/>
        </w:rPr>
      </w:pPr>
      <w:r>
        <w:rPr>
          <w:rFonts w:hint="eastAsia" w:ascii="仿宋" w:hAnsi="仿宋" w:eastAsia="仿宋"/>
          <w:sz w:val="32"/>
          <w:szCs w:val="32"/>
        </w:rPr>
        <w:t>3.承运人未被依法限制申请公路超限运输许可；</w:t>
      </w:r>
    </w:p>
    <w:p w14:paraId="15F643A4">
      <w:pPr>
        <w:rPr>
          <w:rFonts w:ascii="仿宋" w:hAnsi="仿宋" w:eastAsia="仿宋"/>
          <w:sz w:val="32"/>
          <w:szCs w:val="32"/>
        </w:rPr>
      </w:pPr>
      <w:r>
        <w:rPr>
          <w:rFonts w:hint="eastAsia" w:ascii="仿宋" w:hAnsi="仿宋" w:eastAsia="仿宋"/>
          <w:sz w:val="32"/>
          <w:szCs w:val="32"/>
        </w:rPr>
        <w:t>4.运输车辆符合要求；</w:t>
      </w:r>
    </w:p>
    <w:p w14:paraId="656CAEBE">
      <w:pPr>
        <w:rPr>
          <w:rFonts w:ascii="仿宋" w:hAnsi="仿宋" w:eastAsia="仿宋"/>
          <w:sz w:val="32"/>
          <w:szCs w:val="32"/>
        </w:rPr>
      </w:pPr>
      <w:r>
        <w:rPr>
          <w:rFonts w:hint="eastAsia" w:ascii="仿宋" w:hAnsi="仿宋" w:eastAsia="仿宋"/>
          <w:sz w:val="32"/>
          <w:szCs w:val="32"/>
        </w:rPr>
        <w:t>5.需要采取加固、改造措施的，应当按照规定要求采取有效的加固、改造措施，确保许可线路超限运输车辆安全通行。</w:t>
      </w:r>
    </w:p>
    <w:p w14:paraId="17606DB3">
      <w:pPr>
        <w:rPr>
          <w:rFonts w:ascii="仿宋" w:hAnsi="仿宋" w:eastAsia="仿宋"/>
          <w:sz w:val="32"/>
          <w:szCs w:val="32"/>
        </w:rPr>
      </w:pPr>
      <w:r>
        <w:rPr>
          <w:rFonts w:hint="eastAsia" w:ascii="仿宋" w:hAnsi="仿宋" w:eastAsia="仿宋"/>
          <w:sz w:val="32"/>
          <w:szCs w:val="32"/>
        </w:rPr>
        <w:t>6.车货总高度从地面算起超过 4.5 米，或者总宽度超过 3.75 米，或者总长度超过 28 米，或者总质量超过 100000 千克，以及其他可能严重影响公路完好、安全、畅通情形的，需要记录载货时车货总体外廓尺寸信息的轮廓图并做护送方案。</w:t>
      </w:r>
    </w:p>
    <w:p w14:paraId="45AF60AA">
      <w:pPr>
        <w:rPr>
          <w:rFonts w:ascii="楷体" w:hAnsi="楷体" w:eastAsia="楷体"/>
          <w:b/>
          <w:sz w:val="32"/>
          <w:szCs w:val="32"/>
        </w:rPr>
      </w:pPr>
      <w:r>
        <w:rPr>
          <w:rFonts w:hint="eastAsia" w:ascii="楷体" w:hAnsi="楷体" w:eastAsia="楷体"/>
          <w:b/>
          <w:sz w:val="32"/>
          <w:szCs w:val="32"/>
        </w:rPr>
        <w:t>2. 规定行政许可条件的依据</w:t>
      </w:r>
    </w:p>
    <w:p w14:paraId="1AE53BBD">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号）第三条 本规定所称超限运输车辆，是指有下列情形之一的货物运输车辆：（一）车货总高度从地面算起超过 4 米；（二）车货总宽度超过 2.55 米；（三）车货总长度超过 18.1 米；（四）二轴货车，其车货总质量超过 18000 千克；（五）三轴货车，其车货总质量超过 25000 千克；三轴汽车列车，其车货总质量超过 27000 千克；（六）四轴货车，其车货总质量超过 31000 千克；四轴汽车列车，其车货总质量超过 36000 千克；（七）五轴汽车列车，其车货总质量超过 43000 千克；（八）六轴及六轴以上汽车列车，其车货总质量超过49000 千克,其中牵引车驱动轴为单轴的，其车货总质量超过 46000千克。</w:t>
      </w:r>
    </w:p>
    <w:p w14:paraId="64E4004D">
      <w:pPr>
        <w:ind w:firstLine="480" w:firstLineChars="150"/>
        <w:rPr>
          <w:rFonts w:ascii="仿宋" w:hAnsi="仿宋" w:eastAsia="仿宋"/>
          <w:sz w:val="32"/>
          <w:szCs w:val="32"/>
        </w:rPr>
      </w:pPr>
      <w:r>
        <w:rPr>
          <w:rFonts w:hint="eastAsia" w:ascii="仿宋" w:hAnsi="仿宋" w:eastAsia="仿宋"/>
          <w:sz w:val="32"/>
          <w:szCs w:val="32"/>
        </w:rPr>
        <w:t>前款规定的限定标准的认定，还应当遵守下列要求:（一）二轴组按照二个轴计算，三轴组按照三个轴计算；（二）除驱动轴外，二轴组、三轴组以及半挂车和全挂车的车轴每侧轮胎按照双轮胎计算，若每轴每侧轮胎为单轮胎，限定标准减少 3000 千克，但安装符合国家有关标准的加宽轮胎的除外；（三）车辆最大允许总质量不应超过各车轴最大允许轴荷之和；（四）拖拉机、农用车、低速货车，以行驶证核定的总质量为限定标准；（五）符合《汽车、挂车及汽车列车</w:t>
      </w:r>
    </w:p>
    <w:p w14:paraId="469F477E">
      <w:pPr>
        <w:rPr>
          <w:rFonts w:hint="eastAsia" w:ascii="仿宋" w:hAnsi="仿宋" w:eastAsia="仿宋"/>
          <w:sz w:val="32"/>
          <w:szCs w:val="32"/>
        </w:rPr>
      </w:pPr>
      <w:r>
        <w:rPr>
          <w:rFonts w:hint="eastAsia" w:ascii="仿宋" w:hAnsi="仿宋" w:eastAsia="仿宋"/>
          <w:sz w:val="32"/>
          <w:szCs w:val="32"/>
        </w:rPr>
        <w:t>外廓尺寸、轴荷及质量限值》（GB1589）规定的冷藏车、汽车列车、安装空气悬架的车辆，以及专用作业车，不认定为超限运输车辆。第七条 大件运输的托运人应当委托具有大型物件运输经营资质的道路运输经营者承运，并在运单上如实填写托运货物的名称、规格、重量等相关信息。</w:t>
      </w:r>
    </w:p>
    <w:p w14:paraId="6689AF16">
      <w:pPr>
        <w:rPr>
          <w:rFonts w:ascii="仿宋" w:hAnsi="仿宋" w:eastAsia="仿宋"/>
          <w:sz w:val="32"/>
          <w:szCs w:val="32"/>
        </w:rPr>
      </w:pPr>
      <w:r>
        <w:rPr>
          <w:rFonts w:hint="eastAsia" w:ascii="仿宋" w:hAnsi="仿宋" w:eastAsia="仿宋"/>
          <w:sz w:val="32"/>
          <w:szCs w:val="32"/>
        </w:rPr>
        <w:t>第十条 申请公路超限运输许可的，承运人应当提交下列材料：</w:t>
      </w:r>
    </w:p>
    <w:p w14:paraId="783BF15B">
      <w:pPr>
        <w:rPr>
          <w:rFonts w:ascii="仿宋" w:hAnsi="仿宋" w:eastAsia="仿宋"/>
          <w:sz w:val="32"/>
          <w:szCs w:val="32"/>
        </w:rPr>
      </w:pPr>
      <w:r>
        <w:rPr>
          <w:rFonts w:hint="eastAsia" w:ascii="仿宋" w:hAnsi="仿宋" w:eastAsia="仿宋"/>
          <w:sz w:val="32"/>
          <w:szCs w:val="32"/>
        </w:rPr>
        <w:t>（一）公路超限运输申请表，主要内容包括货物的名称、外廓尺寸和质量，车辆的厂牌型号、整备质量、轴数、轴距和轮胎数，载货时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总体的外廓尺寸、总质量、各车轴轴荷，拟运输的起讫点、通行路线和行驶时间；</w:t>
      </w:r>
    </w:p>
    <w:p w14:paraId="30C4FA34">
      <w:pPr>
        <w:rPr>
          <w:rFonts w:ascii="仿宋" w:hAnsi="仿宋" w:eastAsia="仿宋"/>
          <w:sz w:val="32"/>
          <w:szCs w:val="32"/>
        </w:rPr>
      </w:pPr>
      <w:r>
        <w:rPr>
          <w:rFonts w:hint="eastAsia" w:ascii="仿宋" w:hAnsi="仿宋" w:eastAsia="仿宋"/>
          <w:sz w:val="32"/>
          <w:szCs w:val="32"/>
        </w:rPr>
        <w:t>（二）承运人的道路运输经营许可证，经办人的身份证件和授权委托书；</w:t>
      </w:r>
    </w:p>
    <w:p w14:paraId="70D491BC">
      <w:pPr>
        <w:rPr>
          <w:rFonts w:ascii="仿宋" w:hAnsi="仿宋" w:eastAsia="仿宋"/>
          <w:sz w:val="32"/>
          <w:szCs w:val="32"/>
        </w:rPr>
      </w:pPr>
      <w:r>
        <w:rPr>
          <w:rFonts w:hint="eastAsia" w:ascii="仿宋" w:hAnsi="仿宋" w:eastAsia="仿宋"/>
          <w:sz w:val="32"/>
          <w:szCs w:val="32"/>
        </w:rPr>
        <w:t>（三）车辆行驶证或者临时行驶车号牌。车货总高度从地面算起超过 4.5 米，或者总宽度超过 3.75 米，或者总长度超过 28 米，或者总质量超过 100000 千克，以及其他可能</w:t>
      </w:r>
    </w:p>
    <w:p w14:paraId="5EBBDC40">
      <w:pPr>
        <w:rPr>
          <w:rFonts w:ascii="仿宋" w:hAnsi="仿宋" w:eastAsia="仿宋"/>
          <w:sz w:val="32"/>
          <w:szCs w:val="32"/>
        </w:rPr>
      </w:pPr>
      <w:r>
        <w:rPr>
          <w:rFonts w:hint="eastAsia" w:ascii="仿宋" w:hAnsi="仿宋" w:eastAsia="仿宋"/>
          <w:sz w:val="32"/>
          <w:szCs w:val="32"/>
        </w:rPr>
        <w:t>严重影响公路完好、安全、畅通情形的，还应当提交记录载货时</w:t>
      </w:r>
      <w:r>
        <w:rPr>
          <w:rFonts w:hint="eastAsia" w:ascii="仿宋" w:hAnsi="仿宋" w:eastAsia="仿宋"/>
          <w:sz w:val="32"/>
          <w:szCs w:val="32"/>
          <w:lang w:eastAsia="zh-CN"/>
        </w:rPr>
        <w:t>货车</w:t>
      </w:r>
      <w:r>
        <w:rPr>
          <w:rFonts w:hint="eastAsia" w:ascii="仿宋" w:hAnsi="仿宋" w:eastAsia="仿宋"/>
          <w:sz w:val="32"/>
          <w:szCs w:val="32"/>
        </w:rPr>
        <w:t>总体外廓尺寸信息的轮廓图和护送方案。护送方案应当包含护送车辆配置方案、护送人员配备方案、护送</w:t>
      </w:r>
    </w:p>
    <w:p w14:paraId="17E037F3">
      <w:pPr>
        <w:rPr>
          <w:rFonts w:ascii="仿宋" w:hAnsi="仿宋" w:eastAsia="仿宋"/>
          <w:sz w:val="32"/>
          <w:szCs w:val="32"/>
        </w:rPr>
      </w:pPr>
      <w:r>
        <w:rPr>
          <w:rFonts w:hint="eastAsia" w:ascii="仿宋" w:hAnsi="仿宋" w:eastAsia="仿宋"/>
          <w:sz w:val="32"/>
          <w:szCs w:val="32"/>
        </w:rPr>
        <w:t>路线情况说明、护送操作细则、异常情况处理等相关内容。</w:t>
      </w:r>
    </w:p>
    <w:p w14:paraId="18172CA2">
      <w:pPr>
        <w:ind w:firstLine="480" w:firstLineChars="150"/>
        <w:rPr>
          <w:rFonts w:ascii="仿宋" w:hAnsi="仿宋" w:eastAsia="仿宋"/>
          <w:sz w:val="32"/>
          <w:szCs w:val="32"/>
        </w:rPr>
      </w:pPr>
      <w:r>
        <w:rPr>
          <w:rFonts w:hint="eastAsia" w:ascii="仿宋" w:hAnsi="仿宋" w:eastAsia="仿宋"/>
          <w:sz w:val="32"/>
          <w:szCs w:val="32"/>
        </w:rPr>
        <w:t>第十一条 承运人提出的公路超限运输许可申请有下列情形之一的，公路管理机构不予受理：</w:t>
      </w:r>
    </w:p>
    <w:p w14:paraId="17518BD5">
      <w:pPr>
        <w:rPr>
          <w:rFonts w:ascii="仿宋" w:hAnsi="仿宋" w:eastAsia="仿宋"/>
          <w:sz w:val="32"/>
          <w:szCs w:val="32"/>
        </w:rPr>
      </w:pPr>
      <w:r>
        <w:rPr>
          <w:rFonts w:hint="eastAsia" w:ascii="仿宋" w:hAnsi="仿宋" w:eastAsia="仿宋"/>
          <w:sz w:val="32"/>
          <w:szCs w:val="32"/>
        </w:rPr>
        <w:t>（一）货物属于可分载物品的；</w:t>
      </w:r>
    </w:p>
    <w:p w14:paraId="521A2C6C">
      <w:pPr>
        <w:rPr>
          <w:rFonts w:ascii="仿宋" w:hAnsi="仿宋" w:eastAsia="仿宋"/>
          <w:sz w:val="32"/>
          <w:szCs w:val="32"/>
        </w:rPr>
      </w:pPr>
      <w:r>
        <w:rPr>
          <w:rFonts w:hint="eastAsia" w:ascii="仿宋" w:hAnsi="仿宋" w:eastAsia="仿宋"/>
          <w:sz w:val="32"/>
          <w:szCs w:val="32"/>
        </w:rPr>
        <w:t>（二）承运人所持有的道路运输经营许可证记载的经营资质不包括大件运输的；</w:t>
      </w:r>
    </w:p>
    <w:p w14:paraId="30C3D36B">
      <w:pPr>
        <w:rPr>
          <w:rFonts w:ascii="仿宋" w:hAnsi="仿宋" w:eastAsia="仿宋"/>
          <w:sz w:val="32"/>
          <w:szCs w:val="32"/>
        </w:rPr>
      </w:pPr>
      <w:r>
        <w:rPr>
          <w:rFonts w:hint="eastAsia" w:ascii="仿宋" w:hAnsi="仿宋" w:eastAsia="仿宋"/>
          <w:sz w:val="32"/>
          <w:szCs w:val="32"/>
        </w:rPr>
        <w:t>（三）承运人被依法限制申请公路超限运输许可未满限制期限的；</w:t>
      </w:r>
    </w:p>
    <w:p w14:paraId="0116A07A">
      <w:pPr>
        <w:rPr>
          <w:rFonts w:ascii="仿宋" w:hAnsi="仿宋" w:eastAsia="仿宋"/>
          <w:sz w:val="32"/>
          <w:szCs w:val="32"/>
        </w:rPr>
      </w:pPr>
      <w:r>
        <w:rPr>
          <w:rFonts w:hint="eastAsia" w:ascii="仿宋" w:hAnsi="仿宋" w:eastAsia="仿宋"/>
          <w:sz w:val="32"/>
          <w:szCs w:val="32"/>
        </w:rPr>
        <w:t>（四）法律、行政法规规定的其他情形。</w:t>
      </w:r>
    </w:p>
    <w:p w14:paraId="62EB115A">
      <w:pPr>
        <w:rPr>
          <w:rFonts w:ascii="仿宋" w:hAnsi="仿宋" w:eastAsia="仿宋"/>
          <w:sz w:val="32"/>
          <w:szCs w:val="32"/>
        </w:rPr>
      </w:pPr>
      <w:r>
        <w:rPr>
          <w:rFonts w:hint="eastAsia" w:ascii="仿宋" w:hAnsi="仿宋" w:eastAsia="仿宋"/>
          <w:sz w:val="32"/>
          <w:szCs w:val="32"/>
        </w:rPr>
        <w:t>载运单个不可解体物品的大件运输车辆，在不改变原超限情形的前提下，加装多个品种相同的不可解体物品的，视为载运不可解体物品。</w:t>
      </w:r>
    </w:p>
    <w:p w14:paraId="1F3B48D9">
      <w:pPr>
        <w:ind w:firstLine="640" w:firstLineChars="200"/>
        <w:rPr>
          <w:rFonts w:ascii="仿宋" w:hAnsi="仿宋" w:eastAsia="仿宋"/>
          <w:sz w:val="32"/>
          <w:szCs w:val="32"/>
        </w:rPr>
      </w:pPr>
      <w:r>
        <w:rPr>
          <w:rFonts w:hint="eastAsia" w:ascii="仿宋" w:hAnsi="仿宋" w:eastAsia="仿宋"/>
          <w:sz w:val="32"/>
          <w:szCs w:val="32"/>
        </w:rPr>
        <w:t>第十二条 公路管理机构受理公路超限运输许可申请后，应当对承运人提交的申请材料进行审查。属于第十条第二款规定情形的，公路管理机构应当对</w:t>
      </w:r>
      <w:r>
        <w:rPr>
          <w:rFonts w:hint="eastAsia" w:ascii="仿宋" w:hAnsi="仿宋" w:eastAsia="仿宋"/>
          <w:sz w:val="32"/>
          <w:szCs w:val="32"/>
          <w:lang w:eastAsia="zh-CN"/>
        </w:rPr>
        <w:t>货车</w:t>
      </w:r>
      <w:r>
        <w:rPr>
          <w:rFonts w:hint="eastAsia" w:ascii="仿宋" w:hAnsi="仿宋" w:eastAsia="仿宋"/>
          <w:sz w:val="32"/>
          <w:szCs w:val="32"/>
        </w:rPr>
        <w:t>总体外廓尺寸、总质量、轴荷等数据和护送方案进行核查，并征求同级公安机关交通管理部门意见。属于统一受理、集中办理跨省、自治区、直辖市进行运输的，由起运地省级公路管理机构负责审查。</w:t>
      </w:r>
    </w:p>
    <w:p w14:paraId="741F177E">
      <w:pPr>
        <w:rPr>
          <w:rFonts w:ascii="仿宋" w:hAnsi="仿宋" w:eastAsia="仿宋"/>
          <w:sz w:val="32"/>
          <w:szCs w:val="32"/>
        </w:rPr>
      </w:pPr>
      <w:r>
        <w:rPr>
          <w:rFonts w:hint="eastAsia" w:ascii="仿宋" w:hAnsi="仿宋" w:eastAsia="仿宋"/>
          <w:sz w:val="32"/>
          <w:szCs w:val="32"/>
        </w:rPr>
        <w:t>第十三条 公路管理机构审批公路超限运输申请，应当根据实际情况组织人员勘测通行路线。需要采取加固、改造措施的，承运人应当按照规定要求采取有效的加固、改造措施。公路管理机构应当对承运人提出的加固、改造措施方案进行审查，并组织验收。承运人不具备加固、改造措施的条件和能力的，可以通过签订协议的方式，委托公路管理机构制定相应的加固、改造方案，由公路管理机构进行加固、改造，或者由公路管理机构通过市场化方式选择具有相应资质的单位进行加固、改造。采取加固、改造措施所需的费用由承运人承担。相关收费标准应当公开、透明。</w:t>
      </w:r>
    </w:p>
    <w:p w14:paraId="561194C2">
      <w:pPr>
        <w:ind w:firstLine="640" w:firstLineChars="200"/>
        <w:rPr>
          <w:rFonts w:ascii="仿宋" w:hAnsi="仿宋" w:eastAsia="仿宋"/>
          <w:sz w:val="32"/>
          <w:szCs w:val="32"/>
        </w:rPr>
      </w:pPr>
      <w:r>
        <w:rPr>
          <w:rFonts w:hint="eastAsia" w:ascii="仿宋" w:hAnsi="仿宋" w:eastAsia="仿宋"/>
          <w:sz w:val="32"/>
          <w:szCs w:val="32"/>
        </w:rPr>
        <w:t>第十七条 有下列情形之一的，公路管理机构应当依法作出不予行政许可的决定:</w:t>
      </w:r>
    </w:p>
    <w:p w14:paraId="63438254">
      <w:pPr>
        <w:rPr>
          <w:rFonts w:ascii="仿宋" w:hAnsi="仿宋" w:eastAsia="仿宋"/>
          <w:sz w:val="32"/>
          <w:szCs w:val="32"/>
        </w:rPr>
      </w:pPr>
      <w:r>
        <w:rPr>
          <w:rFonts w:hint="eastAsia" w:ascii="仿宋" w:hAnsi="仿宋" w:eastAsia="仿宋"/>
          <w:sz w:val="32"/>
          <w:szCs w:val="32"/>
        </w:rPr>
        <w:t>（一）采用普通平板车运输，车辆单轴的平均轴荷超过 10000 千克或者最大轴荷超过 13000 千克的；</w:t>
      </w:r>
    </w:p>
    <w:p w14:paraId="33C4156F">
      <w:pPr>
        <w:rPr>
          <w:rFonts w:ascii="仿宋" w:hAnsi="仿宋" w:eastAsia="仿宋"/>
          <w:sz w:val="32"/>
          <w:szCs w:val="32"/>
        </w:rPr>
      </w:pPr>
      <w:r>
        <w:rPr>
          <w:rFonts w:hint="eastAsia" w:ascii="仿宋" w:hAnsi="仿宋" w:eastAsia="仿宋"/>
          <w:sz w:val="32"/>
          <w:szCs w:val="32"/>
        </w:rPr>
        <w:t>（二）采用多轴多轮液压平板车运输，车辆每轴线（一线两轴 8轮胎）的平均轴荷超过 18000 千克或者最大轴荷超过 20000 千克的；</w:t>
      </w:r>
    </w:p>
    <w:p w14:paraId="790E02FA">
      <w:pPr>
        <w:rPr>
          <w:rFonts w:ascii="仿宋" w:hAnsi="仿宋" w:eastAsia="仿宋"/>
          <w:sz w:val="32"/>
          <w:szCs w:val="32"/>
        </w:rPr>
      </w:pPr>
      <w:r>
        <w:rPr>
          <w:rFonts w:hint="eastAsia" w:ascii="仿宋" w:hAnsi="仿宋" w:eastAsia="仿宋"/>
          <w:sz w:val="32"/>
          <w:szCs w:val="32"/>
        </w:rPr>
        <w:t>（三）承运人不履行加固、改造义务的；</w:t>
      </w:r>
    </w:p>
    <w:p w14:paraId="30E7708D">
      <w:pPr>
        <w:rPr>
          <w:rFonts w:ascii="仿宋" w:hAnsi="仿宋" w:eastAsia="仿宋"/>
          <w:sz w:val="32"/>
          <w:szCs w:val="32"/>
        </w:rPr>
      </w:pPr>
      <w:r>
        <w:rPr>
          <w:rFonts w:hint="eastAsia" w:ascii="仿宋" w:hAnsi="仿宋" w:eastAsia="仿宋"/>
          <w:sz w:val="32"/>
          <w:szCs w:val="32"/>
        </w:rPr>
        <w:t>（四）法律、行政法规规定的其他情形。</w:t>
      </w:r>
    </w:p>
    <w:p w14:paraId="0B98BE6A">
      <w:pPr>
        <w:rPr>
          <w:rFonts w:ascii="黑体" w:hAnsi="黑体" w:eastAsia="黑体"/>
          <w:b/>
          <w:sz w:val="32"/>
          <w:szCs w:val="32"/>
        </w:rPr>
      </w:pPr>
      <w:r>
        <w:rPr>
          <w:rFonts w:hint="eastAsia" w:ascii="黑体" w:hAnsi="黑体" w:eastAsia="黑体"/>
          <w:b/>
          <w:sz w:val="32"/>
          <w:szCs w:val="32"/>
        </w:rPr>
        <w:t>四、行政许可服务对象类型与改革举措</w:t>
      </w:r>
    </w:p>
    <w:p w14:paraId="756795A5">
      <w:pPr>
        <w:rPr>
          <w:rFonts w:ascii="仿宋" w:hAnsi="仿宋" w:eastAsia="仿宋"/>
          <w:sz w:val="32"/>
          <w:szCs w:val="32"/>
        </w:rPr>
      </w:pPr>
      <w:r>
        <w:rPr>
          <w:rFonts w:hint="eastAsia" w:ascii="楷体" w:hAnsi="楷体" w:eastAsia="楷体"/>
          <w:b/>
          <w:sz w:val="32"/>
          <w:szCs w:val="32"/>
        </w:rPr>
        <w:t>1. 服务对象类型：</w:t>
      </w:r>
      <w:r>
        <w:rPr>
          <w:rFonts w:hint="eastAsia" w:ascii="仿宋" w:hAnsi="仿宋" w:eastAsia="仿宋"/>
          <w:sz w:val="32"/>
          <w:szCs w:val="32"/>
        </w:rPr>
        <w:t>企业法人、自然人</w:t>
      </w:r>
    </w:p>
    <w:p w14:paraId="089A22A8">
      <w:pPr>
        <w:rPr>
          <w:rFonts w:ascii="仿宋" w:hAnsi="仿宋" w:eastAsia="仿宋"/>
          <w:sz w:val="32"/>
          <w:szCs w:val="32"/>
        </w:rPr>
      </w:pPr>
      <w:r>
        <w:rPr>
          <w:rFonts w:hint="eastAsia" w:ascii="楷体" w:hAnsi="楷体" w:eastAsia="楷体"/>
          <w:b/>
          <w:sz w:val="32"/>
          <w:szCs w:val="32"/>
        </w:rPr>
        <w:t>2. 是否为涉企许可事项：</w:t>
      </w:r>
      <w:r>
        <w:rPr>
          <w:rFonts w:hint="eastAsia" w:ascii="仿宋" w:hAnsi="仿宋" w:eastAsia="仿宋"/>
          <w:sz w:val="32"/>
          <w:szCs w:val="32"/>
        </w:rPr>
        <w:t>否</w:t>
      </w:r>
    </w:p>
    <w:p w14:paraId="67255CCF">
      <w:pPr>
        <w:rPr>
          <w:rFonts w:ascii="仿宋" w:hAnsi="仿宋" w:eastAsia="仿宋"/>
          <w:sz w:val="32"/>
          <w:szCs w:val="32"/>
        </w:rPr>
      </w:pPr>
      <w:r>
        <w:rPr>
          <w:rFonts w:hint="eastAsia" w:ascii="楷体" w:hAnsi="楷体" w:eastAsia="楷体"/>
          <w:b/>
          <w:sz w:val="32"/>
          <w:szCs w:val="32"/>
        </w:rPr>
        <w:t>3. 涉企经营许可事项名称：</w:t>
      </w:r>
      <w:r>
        <w:rPr>
          <w:rFonts w:hint="eastAsia" w:ascii="仿宋" w:hAnsi="仿宋" w:eastAsia="仿宋"/>
          <w:sz w:val="32"/>
          <w:szCs w:val="32"/>
        </w:rPr>
        <w:t>无</w:t>
      </w:r>
    </w:p>
    <w:p w14:paraId="59A1F15B">
      <w:pPr>
        <w:rPr>
          <w:rFonts w:ascii="仿宋" w:hAnsi="仿宋" w:eastAsia="仿宋"/>
          <w:sz w:val="32"/>
          <w:szCs w:val="32"/>
        </w:rPr>
      </w:pPr>
      <w:r>
        <w:rPr>
          <w:rFonts w:hint="eastAsia" w:ascii="楷体" w:hAnsi="楷体" w:eastAsia="楷体"/>
          <w:b/>
          <w:sz w:val="32"/>
          <w:szCs w:val="32"/>
        </w:rPr>
        <w:t>4. 许可证件名称：</w:t>
      </w:r>
      <w:r>
        <w:rPr>
          <w:rFonts w:hint="eastAsia" w:ascii="仿宋" w:hAnsi="仿宋" w:eastAsia="仿宋"/>
          <w:sz w:val="32"/>
          <w:szCs w:val="32"/>
        </w:rPr>
        <w:t>无</w:t>
      </w:r>
    </w:p>
    <w:p w14:paraId="55335634">
      <w:pPr>
        <w:rPr>
          <w:rFonts w:ascii="仿宋" w:hAnsi="仿宋" w:eastAsia="仿宋"/>
          <w:sz w:val="32"/>
          <w:szCs w:val="32"/>
        </w:rPr>
      </w:pPr>
      <w:r>
        <w:rPr>
          <w:rFonts w:hint="eastAsia" w:ascii="楷体" w:hAnsi="楷体" w:eastAsia="楷体"/>
          <w:b/>
          <w:sz w:val="32"/>
          <w:szCs w:val="32"/>
        </w:rPr>
        <w:t>5. 改革方式：</w:t>
      </w:r>
      <w:r>
        <w:rPr>
          <w:rFonts w:hint="eastAsia" w:ascii="仿宋" w:hAnsi="仿宋" w:eastAsia="仿宋"/>
          <w:sz w:val="32"/>
          <w:szCs w:val="32"/>
        </w:rPr>
        <w:t>无</w:t>
      </w:r>
    </w:p>
    <w:p w14:paraId="241BE7DE">
      <w:pPr>
        <w:rPr>
          <w:rFonts w:ascii="楷体" w:hAnsi="楷体" w:eastAsia="楷体"/>
          <w:b/>
          <w:sz w:val="32"/>
          <w:szCs w:val="32"/>
        </w:rPr>
      </w:pPr>
      <w:r>
        <w:rPr>
          <w:rFonts w:hint="eastAsia" w:ascii="楷体" w:hAnsi="楷体" w:eastAsia="楷体"/>
          <w:b/>
          <w:sz w:val="32"/>
          <w:szCs w:val="32"/>
        </w:rPr>
        <w:t>6. 具体改革举措</w:t>
      </w:r>
    </w:p>
    <w:p w14:paraId="5F0A8ACB">
      <w:pPr>
        <w:rPr>
          <w:rFonts w:ascii="仿宋" w:hAnsi="仿宋" w:eastAsia="仿宋"/>
          <w:sz w:val="32"/>
          <w:szCs w:val="32"/>
        </w:rPr>
      </w:pPr>
      <w:r>
        <w:rPr>
          <w:rFonts w:hint="eastAsia" w:ascii="仿宋" w:hAnsi="仿宋" w:eastAsia="仿宋"/>
          <w:sz w:val="32"/>
          <w:szCs w:val="32"/>
        </w:rPr>
        <w:t>（1）为贯彻落实国务院关于深化“放管服”改革、优化营商环境的决策部署，2017 年，交通运输部将跨省大件运输并联许可全国联网列入交通运输更贴近民生实事，2017 年 9 月 30 日，跨省大件运输并联许可系统（以下简称“跨省系统”）完成全国联网，实现了起运地省份统一受理、沿线省份限时并联审批，一地办证、全线通行的巨大变革。2019 年 8 月，我们对跨省系统进行了升级改造，解决了省内许可与跨省许可服务标准不一致的问题。（2）将承诺审批时限</w:t>
      </w:r>
    </w:p>
    <w:p w14:paraId="20B4D896">
      <w:pPr>
        <w:rPr>
          <w:rFonts w:ascii="仿宋" w:hAnsi="仿宋" w:eastAsia="仿宋"/>
          <w:sz w:val="32"/>
          <w:szCs w:val="32"/>
        </w:rPr>
      </w:pPr>
      <w:r>
        <w:rPr>
          <w:rFonts w:hint="eastAsia" w:ascii="仿宋" w:hAnsi="仿宋" w:eastAsia="仿宋"/>
          <w:sz w:val="32"/>
          <w:szCs w:val="32"/>
        </w:rPr>
        <w:t>由 20 个工作日压减至 6 个工作日。</w:t>
      </w:r>
    </w:p>
    <w:p w14:paraId="682662AB">
      <w:pPr>
        <w:rPr>
          <w:rFonts w:ascii="楷体" w:hAnsi="楷体" w:eastAsia="楷体"/>
          <w:b/>
          <w:sz w:val="32"/>
          <w:szCs w:val="32"/>
        </w:rPr>
      </w:pPr>
      <w:r>
        <w:rPr>
          <w:rFonts w:hint="eastAsia" w:ascii="楷体" w:hAnsi="楷体" w:eastAsia="楷体"/>
          <w:b/>
          <w:sz w:val="32"/>
          <w:szCs w:val="32"/>
        </w:rPr>
        <w:t>7. 加强事中事后监管措施</w:t>
      </w:r>
    </w:p>
    <w:p w14:paraId="52A6979D">
      <w:pPr>
        <w:rPr>
          <w:rFonts w:ascii="仿宋" w:hAnsi="仿宋" w:eastAsia="仿宋"/>
          <w:sz w:val="32"/>
          <w:szCs w:val="32"/>
        </w:rPr>
      </w:pPr>
      <w:r>
        <w:rPr>
          <w:rFonts w:hint="eastAsia" w:ascii="仿宋" w:hAnsi="仿宋" w:eastAsia="仿宋"/>
          <w:sz w:val="32"/>
          <w:szCs w:val="32"/>
        </w:rPr>
        <w:t>1.强化许可服务，全面推行分类许可，提高许可服务效率，定期组织开展业务培训，提高工作人员专业素养和业务能力。</w:t>
      </w:r>
    </w:p>
    <w:p w14:paraId="2B101D0C">
      <w:pPr>
        <w:rPr>
          <w:rFonts w:ascii="仿宋" w:hAnsi="仿宋" w:eastAsia="仿宋"/>
          <w:sz w:val="32"/>
          <w:szCs w:val="32"/>
        </w:rPr>
      </w:pPr>
      <w:r>
        <w:rPr>
          <w:rFonts w:hint="eastAsia" w:ascii="仿宋" w:hAnsi="仿宋" w:eastAsia="仿宋"/>
          <w:sz w:val="32"/>
          <w:szCs w:val="32"/>
        </w:rPr>
        <w:t>2.压实大件运输安全生产责任，引导大件运输重点货运源头单位安装称重检测及视频监控等设备，并联网运行，对出场（站）车辆进行检测，坚决杜绝未经许可或车证不符的大件运输车辆上路行驶。</w:t>
      </w:r>
    </w:p>
    <w:p w14:paraId="4FB9D2CB">
      <w:pPr>
        <w:rPr>
          <w:rFonts w:ascii="仿宋" w:hAnsi="仿宋" w:eastAsia="仿宋"/>
          <w:sz w:val="32"/>
          <w:szCs w:val="32"/>
        </w:rPr>
      </w:pPr>
      <w:r>
        <w:rPr>
          <w:rFonts w:hint="eastAsia" w:ascii="仿宋" w:hAnsi="仿宋" w:eastAsia="仿宋"/>
          <w:sz w:val="32"/>
          <w:szCs w:val="32"/>
        </w:rPr>
        <w:t>3.加强现场核查，严格落实有关规定要求，对可能影响公路完好、安全、畅通情形的，要加大抽查力度；对申请的</w:t>
      </w:r>
      <w:r>
        <w:rPr>
          <w:rFonts w:hint="eastAsia" w:ascii="仿宋" w:hAnsi="仿宋" w:eastAsia="仿宋"/>
          <w:sz w:val="32"/>
          <w:szCs w:val="32"/>
          <w:lang w:eastAsia="zh-CN"/>
        </w:rPr>
        <w:t>货车</w:t>
      </w:r>
      <w:r>
        <w:rPr>
          <w:rFonts w:hint="eastAsia" w:ascii="仿宋" w:hAnsi="仿宋" w:eastAsia="仿宋"/>
          <w:sz w:val="32"/>
          <w:szCs w:val="32"/>
        </w:rPr>
        <w:t>总质量或外廓尺寸接近跨类临界值的，要重点抽查，对核查或抽查中发现与申请不符的，按隐瞒有关情况或者提供虚假材料申请许可，予以严肃处理。</w:t>
      </w:r>
    </w:p>
    <w:p w14:paraId="17A3F7F7">
      <w:pPr>
        <w:rPr>
          <w:rFonts w:ascii="仿宋" w:hAnsi="仿宋" w:eastAsia="仿宋"/>
          <w:sz w:val="32"/>
          <w:szCs w:val="32"/>
        </w:rPr>
      </w:pPr>
      <w:r>
        <w:rPr>
          <w:rFonts w:hint="eastAsia" w:ascii="仿宋" w:hAnsi="仿宋" w:eastAsia="仿宋"/>
          <w:sz w:val="32"/>
          <w:szCs w:val="32"/>
        </w:rPr>
        <w:t>4.强化大件运输车辆动态监管，指导执法机构利用北斗定位、ETC门架信息等数据，及时发现企业不按许可路线行驶问题；加强途中检查，发现违法情形的，依法严肃查处；建立跨省联动监管机制，解决区域间信息不共享、出现问题相互推诿的问题；加强高速公路检测条件建设，在大件运输通道所在收费站，设置超宽车道，改造称重检测设备，解决超宽大件运输车辆上不去、超重大件运输车辆称不出来的问题；加强高速公路通行检测，坚决禁止违法大件运输车辆驶入高速</w:t>
      </w:r>
    </w:p>
    <w:p w14:paraId="47FD893D">
      <w:pPr>
        <w:rPr>
          <w:rFonts w:ascii="仿宋" w:hAnsi="仿宋" w:eastAsia="仿宋"/>
          <w:sz w:val="32"/>
          <w:szCs w:val="32"/>
        </w:rPr>
      </w:pPr>
      <w:r>
        <w:rPr>
          <w:rFonts w:hint="eastAsia" w:ascii="仿宋" w:hAnsi="仿宋" w:eastAsia="仿宋"/>
          <w:sz w:val="32"/>
          <w:szCs w:val="32"/>
        </w:rPr>
        <w:t>公路。</w:t>
      </w:r>
    </w:p>
    <w:p w14:paraId="058FC4C4">
      <w:pPr>
        <w:rPr>
          <w:rFonts w:ascii="仿宋" w:hAnsi="仿宋" w:eastAsia="仿宋"/>
          <w:sz w:val="32"/>
          <w:szCs w:val="32"/>
        </w:rPr>
      </w:pPr>
      <w:r>
        <w:rPr>
          <w:rFonts w:hint="eastAsia" w:ascii="仿宋" w:hAnsi="仿宋" w:eastAsia="仿宋"/>
          <w:sz w:val="32"/>
          <w:szCs w:val="32"/>
        </w:rPr>
        <w:t>5.严格大件运输通行数据分析比对，利用现有大数据资源，开展大件运输车辆行驶轨迹分析比对，提高虚假填报、“大车小证”、不按许可路线行驶等违法情形的发现能力。探索企业信用风险分类管理，建立大件运输企业信用积分规则，对大件运输企业办证、运输等情况进行信用评价，提高企业失信违法成本，引导诚信办证、规范运输。</w:t>
      </w:r>
    </w:p>
    <w:p w14:paraId="67CA38F0">
      <w:pPr>
        <w:rPr>
          <w:rFonts w:ascii="黑体" w:hAnsi="黑体" w:eastAsia="黑体"/>
          <w:b/>
          <w:sz w:val="32"/>
          <w:szCs w:val="32"/>
        </w:rPr>
      </w:pPr>
      <w:r>
        <w:rPr>
          <w:rFonts w:hint="eastAsia" w:ascii="黑体" w:hAnsi="黑体" w:eastAsia="黑体"/>
          <w:b/>
          <w:sz w:val="32"/>
          <w:szCs w:val="32"/>
        </w:rPr>
        <w:t>五、申请材料</w:t>
      </w:r>
    </w:p>
    <w:p w14:paraId="4B3BE3C9">
      <w:pPr>
        <w:rPr>
          <w:rFonts w:ascii="楷体" w:hAnsi="楷体" w:eastAsia="楷体"/>
          <w:b/>
          <w:sz w:val="32"/>
          <w:szCs w:val="32"/>
        </w:rPr>
      </w:pPr>
      <w:r>
        <w:rPr>
          <w:rFonts w:hint="eastAsia" w:ascii="楷体" w:hAnsi="楷体" w:eastAsia="楷体"/>
          <w:b/>
          <w:sz w:val="32"/>
          <w:szCs w:val="32"/>
        </w:rPr>
        <w:t>1. 申请材料名称</w:t>
      </w:r>
    </w:p>
    <w:p w14:paraId="6F5B210A">
      <w:pPr>
        <w:rPr>
          <w:rFonts w:ascii="仿宋" w:hAnsi="仿宋" w:eastAsia="仿宋"/>
          <w:sz w:val="32"/>
          <w:szCs w:val="32"/>
        </w:rPr>
      </w:pPr>
      <w:r>
        <w:rPr>
          <w:rFonts w:hint="eastAsia" w:ascii="仿宋" w:hAnsi="仿宋" w:eastAsia="仿宋"/>
          <w:sz w:val="32"/>
          <w:szCs w:val="32"/>
        </w:rPr>
        <w:t>1.公路超限运输申请表，主要内容包括货物的名称、外廓尺寸和质量，车辆的厂牌型号、整备质量、轴数、轴距和轮胎数，载货时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w:t>
      </w:r>
    </w:p>
    <w:p w14:paraId="32AC031D">
      <w:pPr>
        <w:rPr>
          <w:rFonts w:ascii="仿宋" w:hAnsi="仿宋" w:eastAsia="仿宋"/>
          <w:sz w:val="32"/>
          <w:szCs w:val="32"/>
        </w:rPr>
      </w:pPr>
      <w:r>
        <w:rPr>
          <w:rFonts w:hint="eastAsia" w:ascii="仿宋" w:hAnsi="仿宋" w:eastAsia="仿宋"/>
          <w:sz w:val="32"/>
          <w:szCs w:val="32"/>
        </w:rPr>
        <w:t>2.承运人的道路运输经营许可证，经办人的身份证件和授权委托书；</w:t>
      </w:r>
    </w:p>
    <w:p w14:paraId="7FF05B95">
      <w:pPr>
        <w:rPr>
          <w:rFonts w:ascii="仿宋" w:hAnsi="仿宋" w:eastAsia="仿宋"/>
          <w:sz w:val="32"/>
          <w:szCs w:val="32"/>
        </w:rPr>
      </w:pPr>
      <w:r>
        <w:rPr>
          <w:rFonts w:hint="eastAsia" w:ascii="仿宋" w:hAnsi="仿宋" w:eastAsia="仿宋"/>
          <w:sz w:val="32"/>
          <w:szCs w:val="32"/>
        </w:rPr>
        <w:t>3.车辆行驶证或者临时行驶</w:t>
      </w:r>
      <w:r>
        <w:rPr>
          <w:rFonts w:hint="eastAsia" w:ascii="仿宋" w:hAnsi="仿宋" w:eastAsia="仿宋"/>
          <w:sz w:val="32"/>
          <w:szCs w:val="32"/>
          <w:lang w:eastAsia="zh-CN"/>
        </w:rPr>
        <w:t>号牌</w:t>
      </w:r>
      <w:r>
        <w:rPr>
          <w:rFonts w:hint="eastAsia" w:ascii="仿宋" w:hAnsi="仿宋" w:eastAsia="仿宋"/>
          <w:sz w:val="32"/>
          <w:szCs w:val="32"/>
        </w:rPr>
        <w:t>；</w:t>
      </w:r>
    </w:p>
    <w:p w14:paraId="6F822218">
      <w:pPr>
        <w:rPr>
          <w:rFonts w:ascii="仿宋" w:hAnsi="仿宋" w:eastAsia="仿宋"/>
          <w:sz w:val="32"/>
          <w:szCs w:val="32"/>
        </w:rPr>
      </w:pPr>
      <w:r>
        <w:rPr>
          <w:rFonts w:hint="eastAsia" w:ascii="仿宋" w:hAnsi="仿宋" w:eastAsia="仿宋"/>
          <w:sz w:val="32"/>
          <w:szCs w:val="32"/>
        </w:rPr>
        <w:t>4.车货总高度从地面算起超过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w:t>
      </w:r>
    </w:p>
    <w:p w14:paraId="0417C7A1">
      <w:pPr>
        <w:rPr>
          <w:rFonts w:ascii="仿宋" w:hAnsi="仿宋" w:eastAsia="仿宋"/>
          <w:sz w:val="32"/>
          <w:szCs w:val="32"/>
        </w:rPr>
      </w:pPr>
      <w:r>
        <w:rPr>
          <w:rFonts w:hint="eastAsia" w:ascii="仿宋" w:hAnsi="仿宋" w:eastAsia="仿宋"/>
          <w:sz w:val="32"/>
          <w:szCs w:val="32"/>
        </w:rPr>
        <w:t>5.护送方案应当包含护送车辆配置方案、护送员配备方案、护送路线情况说明、护送操作细则、异常情况处理等相关内容。</w:t>
      </w:r>
    </w:p>
    <w:p w14:paraId="3D6C4F77">
      <w:pPr>
        <w:rPr>
          <w:rFonts w:ascii="仿宋" w:hAnsi="仿宋" w:eastAsia="仿宋"/>
          <w:sz w:val="32"/>
          <w:szCs w:val="32"/>
        </w:rPr>
      </w:pPr>
      <w:r>
        <w:rPr>
          <w:rFonts w:hint="eastAsia" w:ascii="仿宋" w:hAnsi="仿宋" w:eastAsia="仿宋"/>
          <w:sz w:val="32"/>
          <w:szCs w:val="32"/>
        </w:rPr>
        <w:t>6.同一大件运输车辆短期内多次通行固定路线，装载方式、装载物品相同，且不需要采取加固、改造措施的，承运人可以根据运输计划向公路管理机构申请办理行驶期限不超过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0AA098AE">
      <w:pPr>
        <w:rPr>
          <w:rFonts w:ascii="楷体" w:hAnsi="楷体" w:eastAsia="楷体"/>
          <w:b/>
          <w:sz w:val="32"/>
          <w:szCs w:val="32"/>
        </w:rPr>
      </w:pPr>
      <w:r>
        <w:rPr>
          <w:rFonts w:hint="eastAsia" w:ascii="楷体" w:hAnsi="楷体" w:eastAsia="楷体"/>
          <w:b/>
          <w:sz w:val="32"/>
          <w:szCs w:val="32"/>
        </w:rPr>
        <w:t>2. 规定申请材料的依据</w:t>
      </w:r>
    </w:p>
    <w:p w14:paraId="190E5E65">
      <w:pPr>
        <w:rPr>
          <w:rFonts w:hint="eastAsia" w:ascii="仿宋" w:hAnsi="仿宋" w:eastAsia="仿宋"/>
          <w:sz w:val="32"/>
          <w:szCs w:val="32"/>
        </w:rPr>
      </w:pPr>
      <w:r>
        <w:rPr>
          <w:rFonts w:hint="eastAsia" w:ascii="仿宋" w:hAnsi="仿宋" w:eastAsia="仿宋"/>
          <w:sz w:val="32"/>
          <w:szCs w:val="32"/>
        </w:rPr>
        <w:t>（1）《超限运输车辆行驶公路管理规定》（交通运输部令 2021年第 12 号）第十条 申请公路超限运输许可的，承运人应当提交下列材料：</w:t>
      </w:r>
    </w:p>
    <w:p w14:paraId="5B27AD44">
      <w:pPr>
        <w:rPr>
          <w:rFonts w:ascii="仿宋" w:hAnsi="仿宋" w:eastAsia="仿宋"/>
          <w:sz w:val="32"/>
          <w:szCs w:val="32"/>
        </w:rPr>
      </w:pPr>
      <w:r>
        <w:rPr>
          <w:rFonts w:hint="eastAsia" w:ascii="仿宋" w:hAnsi="仿宋" w:eastAsia="仿宋"/>
          <w:sz w:val="32"/>
          <w:szCs w:val="32"/>
        </w:rPr>
        <w:t>（一）公路超限运输申请表，主要内容包括货物的名称、外</w:t>
      </w:r>
    </w:p>
    <w:p w14:paraId="5D952C91">
      <w:pPr>
        <w:rPr>
          <w:rFonts w:ascii="仿宋" w:hAnsi="仿宋" w:eastAsia="仿宋"/>
          <w:sz w:val="32"/>
          <w:szCs w:val="32"/>
        </w:rPr>
      </w:pPr>
      <w:r>
        <w:rPr>
          <w:rFonts w:hint="eastAsia" w:ascii="仿宋" w:hAnsi="仿宋" w:eastAsia="仿宋"/>
          <w:sz w:val="32"/>
          <w:szCs w:val="32"/>
        </w:rPr>
        <w:t>廓尺寸和质量，车辆的厂牌型号、整备质量、轴数、轴距和轮胎数，载货时</w:t>
      </w:r>
      <w:r>
        <w:rPr>
          <w:rFonts w:hint="eastAsia" w:ascii="仿宋" w:hAnsi="仿宋" w:eastAsia="仿宋"/>
          <w:sz w:val="32"/>
          <w:szCs w:val="32"/>
          <w:lang w:eastAsia="zh-CN"/>
        </w:rPr>
        <w:t>货车</w:t>
      </w:r>
      <w:r>
        <w:rPr>
          <w:rFonts w:hint="eastAsia" w:ascii="仿宋" w:hAnsi="仿宋" w:eastAsia="仿宋"/>
          <w:sz w:val="32"/>
          <w:szCs w:val="32"/>
        </w:rPr>
        <w:t>总体的外廓尺寸、总质量、各车轴轴荷，拟运输的起讫点、通行路线和行驶时间；（二）承运人的道路运输经营许可证，经办人的身份证件和授权委托书；（三）车辆行驶证或者临时行驶车号牌；</w:t>
      </w:r>
    </w:p>
    <w:p w14:paraId="762A7A6E">
      <w:pPr>
        <w:rPr>
          <w:rFonts w:ascii="仿宋" w:hAnsi="仿宋" w:eastAsia="仿宋"/>
          <w:sz w:val="32"/>
          <w:szCs w:val="32"/>
        </w:rPr>
      </w:pPr>
      <w:r>
        <w:rPr>
          <w:rFonts w:hint="eastAsia" w:ascii="仿宋" w:hAnsi="仿宋" w:eastAsia="仿宋"/>
          <w:sz w:val="32"/>
          <w:szCs w:val="32"/>
        </w:rPr>
        <w:t>（四）车货总高度从地面算起超过 4.5 米，或者总宽度超过 3.75 米，或者总长度超过 28 米，或者总质量超过 100000 千克，以及其他可能严重影响公路完好、安全、畅通情形的，还应当提交记录载货时车货总体外廓尺寸信息的轮廓图和护送方案；（五）护送方案应当包含护送车辆配置方案、护送员配备方案、护送路线情况说明、护送操作</w:t>
      </w:r>
      <w:r>
        <w:rPr>
          <w:rFonts w:hint="eastAsia" w:ascii="仿宋" w:hAnsi="仿宋" w:eastAsia="仿宋"/>
          <w:sz w:val="32"/>
          <w:szCs w:val="32"/>
          <w:lang w:eastAsia="zh-CN"/>
        </w:rPr>
        <w:t>细况</w:t>
      </w:r>
    </w:p>
    <w:p w14:paraId="00842EC6">
      <w:pPr>
        <w:rPr>
          <w:rFonts w:ascii="仿宋" w:hAnsi="仿宋" w:eastAsia="仿宋"/>
          <w:sz w:val="32"/>
          <w:szCs w:val="32"/>
        </w:rPr>
      </w:pPr>
      <w:r>
        <w:rPr>
          <w:rFonts w:hint="eastAsia" w:ascii="仿宋" w:hAnsi="仿宋" w:eastAsia="仿宋"/>
          <w:sz w:val="32"/>
          <w:szCs w:val="32"/>
        </w:rPr>
        <w:t>则、异常情况处理等相关内容。</w:t>
      </w:r>
    </w:p>
    <w:p w14:paraId="4999D13F">
      <w:pPr>
        <w:rPr>
          <w:rFonts w:ascii="仿宋" w:hAnsi="仿宋" w:eastAsia="仿宋"/>
          <w:sz w:val="32"/>
          <w:szCs w:val="32"/>
        </w:rPr>
      </w:pPr>
      <w:r>
        <w:rPr>
          <w:rFonts w:hint="eastAsia" w:ascii="仿宋" w:hAnsi="仿宋" w:eastAsia="仿宋"/>
          <w:sz w:val="32"/>
          <w:szCs w:val="32"/>
        </w:rPr>
        <w:t>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60CB9285">
      <w:pPr>
        <w:rPr>
          <w:rFonts w:ascii="黑体" w:hAnsi="黑体" w:eastAsia="黑体"/>
          <w:b/>
          <w:sz w:val="32"/>
          <w:szCs w:val="32"/>
        </w:rPr>
      </w:pPr>
      <w:r>
        <w:rPr>
          <w:rFonts w:hint="eastAsia" w:ascii="黑体" w:hAnsi="黑体" w:eastAsia="黑体"/>
          <w:b/>
          <w:sz w:val="32"/>
          <w:szCs w:val="32"/>
        </w:rPr>
        <w:t>六、中介服务</w:t>
      </w:r>
    </w:p>
    <w:p w14:paraId="037331FF">
      <w:pPr>
        <w:rPr>
          <w:rFonts w:ascii="仿宋" w:hAnsi="仿宋" w:eastAsia="仿宋"/>
          <w:sz w:val="32"/>
          <w:szCs w:val="32"/>
        </w:rPr>
      </w:pPr>
      <w:r>
        <w:rPr>
          <w:rFonts w:hint="eastAsia" w:ascii="楷体" w:hAnsi="楷体" w:eastAsia="楷体"/>
          <w:b/>
          <w:sz w:val="32"/>
          <w:szCs w:val="32"/>
        </w:rPr>
        <w:t>1. 有无法定中介服务事项：</w:t>
      </w:r>
      <w:r>
        <w:rPr>
          <w:rFonts w:hint="eastAsia" w:ascii="仿宋" w:hAnsi="仿宋" w:eastAsia="仿宋"/>
          <w:sz w:val="32"/>
          <w:szCs w:val="32"/>
        </w:rPr>
        <w:t>无</w:t>
      </w:r>
    </w:p>
    <w:p w14:paraId="2FA97708">
      <w:pPr>
        <w:rPr>
          <w:rFonts w:ascii="仿宋" w:hAnsi="仿宋" w:eastAsia="仿宋"/>
          <w:sz w:val="32"/>
          <w:szCs w:val="32"/>
        </w:rPr>
      </w:pPr>
      <w:r>
        <w:rPr>
          <w:rFonts w:hint="eastAsia" w:ascii="楷体" w:hAnsi="楷体" w:eastAsia="楷体"/>
          <w:b/>
          <w:sz w:val="32"/>
          <w:szCs w:val="32"/>
        </w:rPr>
        <w:t>2. 中介服务事项名称 ：</w:t>
      </w:r>
      <w:r>
        <w:rPr>
          <w:rFonts w:hint="eastAsia" w:ascii="仿宋" w:hAnsi="仿宋" w:eastAsia="仿宋"/>
          <w:sz w:val="32"/>
          <w:szCs w:val="32"/>
        </w:rPr>
        <w:t>无</w:t>
      </w:r>
    </w:p>
    <w:p w14:paraId="132ACC55">
      <w:pPr>
        <w:rPr>
          <w:rFonts w:ascii="楷体" w:hAnsi="楷体" w:eastAsia="楷体"/>
          <w:b/>
          <w:sz w:val="32"/>
          <w:szCs w:val="32"/>
        </w:rPr>
      </w:pPr>
      <w:r>
        <w:rPr>
          <w:rFonts w:hint="eastAsia" w:ascii="楷体" w:hAnsi="楷体" w:eastAsia="楷体"/>
          <w:b/>
          <w:sz w:val="32"/>
          <w:szCs w:val="32"/>
        </w:rPr>
        <w:t>3. 设定中介服务事项的依据</w:t>
      </w:r>
    </w:p>
    <w:p w14:paraId="76ED4B45">
      <w:pPr>
        <w:rPr>
          <w:rFonts w:ascii="仿宋" w:hAnsi="仿宋" w:eastAsia="仿宋"/>
          <w:sz w:val="32"/>
          <w:szCs w:val="32"/>
        </w:rPr>
      </w:pPr>
      <w:r>
        <w:rPr>
          <w:rFonts w:hint="eastAsia" w:ascii="仿宋" w:hAnsi="仿宋" w:eastAsia="仿宋"/>
          <w:sz w:val="32"/>
          <w:szCs w:val="32"/>
        </w:rPr>
        <w:t>无</w:t>
      </w:r>
    </w:p>
    <w:p w14:paraId="2525AA97">
      <w:pPr>
        <w:rPr>
          <w:rFonts w:ascii="仿宋" w:hAnsi="仿宋" w:eastAsia="仿宋"/>
          <w:sz w:val="32"/>
          <w:szCs w:val="32"/>
        </w:rPr>
      </w:pPr>
      <w:r>
        <w:rPr>
          <w:rFonts w:hint="eastAsia" w:ascii="楷体" w:hAnsi="楷体" w:eastAsia="楷体"/>
          <w:b/>
          <w:sz w:val="32"/>
          <w:szCs w:val="32"/>
        </w:rPr>
        <w:t>4. 提供中介服务的机构 ：</w:t>
      </w:r>
      <w:r>
        <w:rPr>
          <w:rFonts w:hint="eastAsia" w:ascii="仿宋" w:hAnsi="仿宋" w:eastAsia="仿宋"/>
          <w:sz w:val="32"/>
          <w:szCs w:val="32"/>
        </w:rPr>
        <w:t>无</w:t>
      </w:r>
    </w:p>
    <w:p w14:paraId="727EDA90">
      <w:pPr>
        <w:rPr>
          <w:rFonts w:ascii="仿宋" w:hAnsi="仿宋" w:eastAsia="仿宋"/>
          <w:sz w:val="32"/>
          <w:szCs w:val="32"/>
        </w:rPr>
      </w:pPr>
      <w:r>
        <w:rPr>
          <w:rFonts w:hint="eastAsia" w:ascii="楷体" w:hAnsi="楷体" w:eastAsia="楷体"/>
          <w:b/>
          <w:sz w:val="32"/>
          <w:szCs w:val="32"/>
        </w:rPr>
        <w:t>5. 中介服务事项的收费性质 ：</w:t>
      </w:r>
      <w:r>
        <w:rPr>
          <w:rFonts w:hint="eastAsia" w:ascii="仿宋" w:hAnsi="仿宋" w:eastAsia="仿宋"/>
          <w:sz w:val="32"/>
          <w:szCs w:val="32"/>
        </w:rPr>
        <w:t>无</w:t>
      </w:r>
    </w:p>
    <w:p w14:paraId="21B29F9D">
      <w:pPr>
        <w:rPr>
          <w:rFonts w:ascii="黑体" w:hAnsi="黑体" w:eastAsia="黑体"/>
          <w:b/>
          <w:sz w:val="32"/>
          <w:szCs w:val="32"/>
        </w:rPr>
      </w:pPr>
      <w:r>
        <w:rPr>
          <w:rFonts w:hint="eastAsia" w:ascii="黑体" w:hAnsi="黑体" w:eastAsia="黑体"/>
          <w:b/>
          <w:sz w:val="32"/>
          <w:szCs w:val="32"/>
        </w:rPr>
        <w:t>七、审批程序</w:t>
      </w:r>
    </w:p>
    <w:p w14:paraId="436E5902">
      <w:pPr>
        <w:rPr>
          <w:rFonts w:ascii="楷体" w:hAnsi="楷体" w:eastAsia="楷体"/>
          <w:b/>
          <w:sz w:val="32"/>
          <w:szCs w:val="32"/>
        </w:rPr>
      </w:pPr>
      <w:r>
        <w:rPr>
          <w:rFonts w:hint="eastAsia" w:ascii="楷体" w:hAnsi="楷体" w:eastAsia="楷体"/>
          <w:b/>
          <w:sz w:val="32"/>
          <w:szCs w:val="32"/>
        </w:rPr>
        <w:t>1. 办理行政许可的程序环节</w:t>
      </w:r>
    </w:p>
    <w:p w14:paraId="09654A59">
      <w:pPr>
        <w:rPr>
          <w:rFonts w:ascii="仿宋" w:hAnsi="仿宋" w:eastAsia="仿宋"/>
          <w:sz w:val="32"/>
          <w:szCs w:val="32"/>
        </w:rPr>
      </w:pPr>
      <w:r>
        <w:rPr>
          <w:rFonts w:hint="eastAsia" w:ascii="仿宋" w:hAnsi="仿宋" w:eastAsia="仿宋"/>
          <w:sz w:val="32"/>
          <w:szCs w:val="32"/>
        </w:rPr>
        <w:t>1.受理</w:t>
      </w:r>
    </w:p>
    <w:p w14:paraId="5E5D8578">
      <w:pPr>
        <w:rPr>
          <w:rFonts w:ascii="仿宋" w:hAnsi="仿宋" w:eastAsia="仿宋"/>
          <w:sz w:val="32"/>
          <w:szCs w:val="32"/>
        </w:rPr>
      </w:pPr>
      <w:r>
        <w:rPr>
          <w:rFonts w:hint="eastAsia" w:ascii="仿宋" w:hAnsi="仿宋" w:eastAsia="仿宋"/>
          <w:sz w:val="32"/>
          <w:szCs w:val="32"/>
        </w:rPr>
        <w:t>2.审查</w:t>
      </w:r>
    </w:p>
    <w:p w14:paraId="64F8192E">
      <w:pPr>
        <w:rPr>
          <w:rFonts w:ascii="仿宋" w:hAnsi="仿宋" w:eastAsia="仿宋"/>
          <w:sz w:val="32"/>
          <w:szCs w:val="32"/>
        </w:rPr>
      </w:pPr>
      <w:r>
        <w:rPr>
          <w:rFonts w:hint="eastAsia" w:ascii="仿宋" w:hAnsi="仿宋" w:eastAsia="仿宋"/>
          <w:sz w:val="32"/>
          <w:szCs w:val="32"/>
        </w:rPr>
        <w:t>3.现场核查（必要时）</w:t>
      </w:r>
    </w:p>
    <w:p w14:paraId="3A8B774F">
      <w:pPr>
        <w:rPr>
          <w:rFonts w:ascii="仿宋" w:hAnsi="仿宋" w:eastAsia="仿宋"/>
          <w:sz w:val="32"/>
          <w:szCs w:val="32"/>
        </w:rPr>
      </w:pPr>
      <w:r>
        <w:rPr>
          <w:rFonts w:hint="eastAsia" w:ascii="仿宋" w:hAnsi="仿宋" w:eastAsia="仿宋"/>
          <w:sz w:val="32"/>
          <w:szCs w:val="32"/>
        </w:rPr>
        <w:t>4.作出许可决定</w:t>
      </w:r>
    </w:p>
    <w:p w14:paraId="02EC3EF9">
      <w:pPr>
        <w:rPr>
          <w:rFonts w:ascii="楷体" w:hAnsi="楷体" w:eastAsia="楷体"/>
          <w:b/>
          <w:sz w:val="32"/>
          <w:szCs w:val="32"/>
        </w:rPr>
      </w:pPr>
      <w:r>
        <w:rPr>
          <w:rFonts w:hint="eastAsia" w:ascii="楷体" w:hAnsi="楷体" w:eastAsia="楷体"/>
          <w:b/>
          <w:sz w:val="32"/>
          <w:szCs w:val="32"/>
        </w:rPr>
        <w:t>2. 规定行政许可程序的依据</w:t>
      </w:r>
    </w:p>
    <w:p w14:paraId="17F9C545">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号）第十二条 公路管理机构受理公路超限运输许可申请后，应当对承运人提交的申请材料进行审查。属于第十条第二款规定情形的，公路管理机构应当对</w:t>
      </w:r>
      <w:bookmarkStart w:id="0" w:name="_GoBack"/>
      <w:r>
        <w:rPr>
          <w:rFonts w:hint="eastAsia" w:ascii="仿宋" w:hAnsi="仿宋" w:eastAsia="仿宋"/>
          <w:sz w:val="32"/>
          <w:szCs w:val="32"/>
          <w:lang w:eastAsia="zh-CN"/>
        </w:rPr>
        <w:t>货车</w:t>
      </w:r>
      <w:bookmarkEnd w:id="0"/>
      <w:r>
        <w:rPr>
          <w:rFonts w:hint="eastAsia" w:ascii="仿宋" w:hAnsi="仿宋" w:eastAsia="仿宋"/>
          <w:sz w:val="32"/>
          <w:szCs w:val="32"/>
        </w:rPr>
        <w:t>总体外廓尺寸、总质量、轴荷等数据和护送方案进行核查，并征求同级公安机关交通管理部门意见。属于统一受理、集中办理跨省、自治区、直辖市进行运输的，由起运地省级公路管理机构负责审查。</w:t>
      </w:r>
    </w:p>
    <w:p w14:paraId="312608A7">
      <w:pPr>
        <w:rPr>
          <w:rFonts w:ascii="仿宋" w:hAnsi="仿宋" w:eastAsia="仿宋"/>
          <w:sz w:val="32"/>
          <w:szCs w:val="32"/>
        </w:rPr>
      </w:pPr>
      <w:r>
        <w:rPr>
          <w:rFonts w:hint="eastAsia" w:ascii="楷体" w:hAnsi="楷体" w:eastAsia="楷体"/>
          <w:b/>
          <w:sz w:val="32"/>
          <w:szCs w:val="32"/>
        </w:rPr>
        <w:t>3. 是否需要现场勘验 ：</w:t>
      </w:r>
      <w:r>
        <w:rPr>
          <w:rFonts w:hint="eastAsia" w:ascii="仿宋" w:hAnsi="仿宋" w:eastAsia="仿宋"/>
          <w:sz w:val="32"/>
          <w:szCs w:val="32"/>
        </w:rPr>
        <w:t>部分情况下开展</w:t>
      </w:r>
    </w:p>
    <w:p w14:paraId="551C5356">
      <w:pPr>
        <w:rPr>
          <w:rFonts w:ascii="仿宋" w:hAnsi="仿宋" w:eastAsia="仿宋"/>
          <w:sz w:val="32"/>
          <w:szCs w:val="32"/>
        </w:rPr>
      </w:pPr>
      <w:r>
        <w:rPr>
          <w:rFonts w:hint="eastAsia" w:ascii="楷体" w:hAnsi="楷体" w:eastAsia="楷体"/>
          <w:b/>
          <w:sz w:val="32"/>
          <w:szCs w:val="32"/>
        </w:rPr>
        <w:t>4. 是否需要组织听证 ：</w:t>
      </w:r>
      <w:r>
        <w:rPr>
          <w:rFonts w:hint="eastAsia" w:ascii="仿宋" w:hAnsi="仿宋" w:eastAsia="仿宋"/>
          <w:sz w:val="32"/>
          <w:szCs w:val="32"/>
        </w:rPr>
        <w:t>否</w:t>
      </w:r>
    </w:p>
    <w:p w14:paraId="6D56906D">
      <w:pPr>
        <w:rPr>
          <w:rFonts w:ascii="仿宋" w:hAnsi="仿宋" w:eastAsia="仿宋"/>
          <w:sz w:val="32"/>
          <w:szCs w:val="32"/>
        </w:rPr>
      </w:pPr>
      <w:r>
        <w:rPr>
          <w:rFonts w:hint="eastAsia" w:ascii="楷体" w:hAnsi="楷体" w:eastAsia="楷体"/>
          <w:b/>
          <w:sz w:val="32"/>
          <w:szCs w:val="32"/>
        </w:rPr>
        <w:t>5. 是否需要招标、拍卖、挂牌交易 ：</w:t>
      </w:r>
      <w:r>
        <w:rPr>
          <w:rFonts w:hint="eastAsia" w:ascii="仿宋" w:hAnsi="仿宋" w:eastAsia="仿宋"/>
          <w:sz w:val="32"/>
          <w:szCs w:val="32"/>
        </w:rPr>
        <w:t>否</w:t>
      </w:r>
    </w:p>
    <w:p w14:paraId="0A34F814">
      <w:pPr>
        <w:rPr>
          <w:rFonts w:ascii="仿宋" w:hAnsi="仿宋" w:eastAsia="仿宋"/>
          <w:sz w:val="32"/>
          <w:szCs w:val="32"/>
        </w:rPr>
      </w:pPr>
      <w:r>
        <w:rPr>
          <w:rFonts w:hint="eastAsia" w:ascii="楷体" w:hAnsi="楷体" w:eastAsia="楷体"/>
          <w:b/>
          <w:sz w:val="32"/>
          <w:szCs w:val="32"/>
        </w:rPr>
        <w:t>6. 是否需要检验、检测、检疫 ：</w:t>
      </w:r>
      <w:r>
        <w:rPr>
          <w:rFonts w:hint="eastAsia" w:ascii="仿宋" w:hAnsi="仿宋" w:eastAsia="仿宋"/>
          <w:sz w:val="32"/>
          <w:szCs w:val="32"/>
        </w:rPr>
        <w:t>否</w:t>
      </w:r>
    </w:p>
    <w:p w14:paraId="528AA400">
      <w:pPr>
        <w:rPr>
          <w:rFonts w:ascii="仿宋" w:hAnsi="仿宋" w:eastAsia="仿宋"/>
          <w:sz w:val="32"/>
          <w:szCs w:val="32"/>
        </w:rPr>
      </w:pPr>
      <w:r>
        <w:rPr>
          <w:rFonts w:hint="eastAsia" w:ascii="楷体" w:hAnsi="楷体" w:eastAsia="楷体"/>
          <w:b/>
          <w:sz w:val="32"/>
          <w:szCs w:val="32"/>
        </w:rPr>
        <w:t>7. 是否需要鉴定 ：</w:t>
      </w:r>
      <w:r>
        <w:rPr>
          <w:rFonts w:hint="eastAsia" w:ascii="仿宋" w:hAnsi="仿宋" w:eastAsia="仿宋"/>
          <w:sz w:val="32"/>
          <w:szCs w:val="32"/>
        </w:rPr>
        <w:t>否</w:t>
      </w:r>
    </w:p>
    <w:p w14:paraId="49FDEB0A">
      <w:pPr>
        <w:rPr>
          <w:rFonts w:ascii="仿宋" w:hAnsi="仿宋" w:eastAsia="仿宋"/>
          <w:sz w:val="32"/>
          <w:szCs w:val="32"/>
        </w:rPr>
      </w:pPr>
      <w:r>
        <w:rPr>
          <w:rFonts w:hint="eastAsia" w:ascii="楷体" w:hAnsi="楷体" w:eastAsia="楷体"/>
          <w:b/>
          <w:sz w:val="32"/>
          <w:szCs w:val="32"/>
        </w:rPr>
        <w:t>8. 是否需要专家评审 ：</w:t>
      </w:r>
      <w:r>
        <w:rPr>
          <w:rFonts w:hint="eastAsia" w:ascii="仿宋" w:hAnsi="仿宋" w:eastAsia="仿宋"/>
          <w:sz w:val="32"/>
          <w:szCs w:val="32"/>
        </w:rPr>
        <w:t>否</w:t>
      </w:r>
    </w:p>
    <w:p w14:paraId="78982B5E">
      <w:pPr>
        <w:rPr>
          <w:rFonts w:ascii="仿宋" w:hAnsi="仿宋" w:eastAsia="仿宋"/>
          <w:sz w:val="32"/>
          <w:szCs w:val="32"/>
        </w:rPr>
      </w:pPr>
      <w:r>
        <w:rPr>
          <w:rFonts w:hint="eastAsia" w:ascii="楷体" w:hAnsi="楷体" w:eastAsia="楷体"/>
          <w:b/>
          <w:sz w:val="32"/>
          <w:szCs w:val="32"/>
        </w:rPr>
        <w:t>9. 是否需要向社会公示 ：</w:t>
      </w:r>
      <w:r>
        <w:rPr>
          <w:rFonts w:hint="eastAsia" w:ascii="仿宋" w:hAnsi="仿宋" w:eastAsia="仿宋"/>
          <w:sz w:val="32"/>
          <w:szCs w:val="32"/>
        </w:rPr>
        <w:t>是</w:t>
      </w:r>
    </w:p>
    <w:p w14:paraId="0B252788">
      <w:pPr>
        <w:rPr>
          <w:rFonts w:ascii="仿宋" w:hAnsi="仿宋" w:eastAsia="仿宋"/>
          <w:sz w:val="32"/>
          <w:szCs w:val="32"/>
        </w:rPr>
      </w:pPr>
      <w:r>
        <w:rPr>
          <w:rFonts w:hint="eastAsia" w:ascii="楷体" w:hAnsi="楷体" w:eastAsia="楷体"/>
          <w:b/>
          <w:sz w:val="32"/>
          <w:szCs w:val="32"/>
        </w:rPr>
        <w:t>10. 是否实行告知承诺办理 ：</w:t>
      </w:r>
      <w:r>
        <w:rPr>
          <w:rFonts w:hint="eastAsia" w:ascii="仿宋" w:hAnsi="仿宋" w:eastAsia="仿宋"/>
          <w:sz w:val="32"/>
          <w:szCs w:val="32"/>
        </w:rPr>
        <w:t>否</w:t>
      </w:r>
    </w:p>
    <w:p w14:paraId="7FD1B838">
      <w:pPr>
        <w:rPr>
          <w:rFonts w:ascii="仿宋" w:hAnsi="仿宋" w:eastAsia="仿宋"/>
          <w:sz w:val="32"/>
          <w:szCs w:val="32"/>
        </w:rPr>
      </w:pPr>
      <w:r>
        <w:rPr>
          <w:rFonts w:hint="eastAsia" w:ascii="楷体" w:hAnsi="楷体" w:eastAsia="楷体"/>
          <w:b/>
          <w:sz w:val="32"/>
          <w:szCs w:val="32"/>
        </w:rPr>
        <w:t>11. 审批机关是否委托服务机构开展技术性服务：</w:t>
      </w:r>
      <w:r>
        <w:rPr>
          <w:rFonts w:hint="eastAsia" w:ascii="仿宋" w:hAnsi="仿宋" w:eastAsia="仿宋"/>
          <w:sz w:val="32"/>
          <w:szCs w:val="32"/>
        </w:rPr>
        <w:t>部分情况下开展</w:t>
      </w:r>
    </w:p>
    <w:p w14:paraId="793180D3">
      <w:pPr>
        <w:rPr>
          <w:rFonts w:ascii="黑体" w:hAnsi="黑体" w:eastAsia="黑体"/>
          <w:b/>
          <w:sz w:val="32"/>
          <w:szCs w:val="32"/>
        </w:rPr>
      </w:pPr>
      <w:r>
        <w:rPr>
          <w:rFonts w:hint="eastAsia" w:ascii="黑体" w:hAnsi="黑体" w:eastAsia="黑体"/>
          <w:b/>
          <w:sz w:val="32"/>
          <w:szCs w:val="32"/>
        </w:rPr>
        <w:t>八、受理和审批时限</w:t>
      </w:r>
    </w:p>
    <w:p w14:paraId="6B7019EE">
      <w:pPr>
        <w:rPr>
          <w:rFonts w:ascii="仿宋" w:hAnsi="仿宋" w:eastAsia="仿宋"/>
          <w:sz w:val="32"/>
          <w:szCs w:val="32"/>
        </w:rPr>
      </w:pPr>
      <w:r>
        <w:rPr>
          <w:rFonts w:hint="eastAsia" w:ascii="楷体" w:hAnsi="楷体" w:eastAsia="楷体"/>
          <w:b/>
          <w:sz w:val="32"/>
          <w:szCs w:val="32"/>
        </w:rPr>
        <w:t>1. 承诺受理时限：</w:t>
      </w:r>
      <w:r>
        <w:rPr>
          <w:rFonts w:hint="eastAsia" w:ascii="仿宋" w:hAnsi="仿宋" w:eastAsia="仿宋"/>
          <w:sz w:val="32"/>
          <w:szCs w:val="32"/>
        </w:rPr>
        <w:t>5 个工作日</w:t>
      </w:r>
    </w:p>
    <w:p w14:paraId="5C4B747E">
      <w:pPr>
        <w:rPr>
          <w:rFonts w:ascii="仿宋" w:hAnsi="仿宋" w:eastAsia="仿宋"/>
          <w:sz w:val="32"/>
          <w:szCs w:val="32"/>
        </w:rPr>
      </w:pPr>
      <w:r>
        <w:rPr>
          <w:rFonts w:hint="eastAsia" w:ascii="楷体" w:hAnsi="楷体" w:eastAsia="楷体"/>
          <w:b/>
          <w:sz w:val="32"/>
          <w:szCs w:val="32"/>
        </w:rPr>
        <w:t>2. 法定审批时限：</w:t>
      </w:r>
      <w:r>
        <w:rPr>
          <w:rFonts w:hint="eastAsia" w:ascii="仿宋" w:hAnsi="仿宋" w:eastAsia="仿宋"/>
          <w:sz w:val="32"/>
          <w:szCs w:val="32"/>
        </w:rPr>
        <w:t>20 个工作日</w:t>
      </w:r>
    </w:p>
    <w:p w14:paraId="3E304551">
      <w:pPr>
        <w:rPr>
          <w:rFonts w:ascii="楷体" w:hAnsi="楷体" w:eastAsia="楷体"/>
          <w:b/>
          <w:sz w:val="32"/>
          <w:szCs w:val="32"/>
        </w:rPr>
      </w:pPr>
      <w:r>
        <w:rPr>
          <w:rFonts w:hint="eastAsia" w:ascii="楷体" w:hAnsi="楷体" w:eastAsia="楷体"/>
          <w:b/>
          <w:sz w:val="32"/>
          <w:szCs w:val="32"/>
        </w:rPr>
        <w:t>3. 规定法定审批时限依据</w:t>
      </w:r>
    </w:p>
    <w:p w14:paraId="4BC56FE5">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号）第十五条 公路管理机构应当在下列期限内作出行政许可决定：</w:t>
      </w:r>
    </w:p>
    <w:p w14:paraId="03820E3B">
      <w:pPr>
        <w:rPr>
          <w:rFonts w:hint="eastAsia" w:ascii="仿宋" w:hAnsi="仿宋" w:eastAsia="仿宋"/>
          <w:sz w:val="32"/>
          <w:szCs w:val="32"/>
        </w:rPr>
      </w:pPr>
      <w:r>
        <w:rPr>
          <w:rFonts w:hint="eastAsia" w:ascii="仿宋" w:hAnsi="仿宋" w:eastAsia="仿宋"/>
          <w:sz w:val="32"/>
          <w:szCs w:val="32"/>
        </w:rPr>
        <w:t>（一）车货总高度从地面算起未超过 4.2 米、总宽度未超过 3 米、总长度未超过 20 米且车货总质量、轴荷未超过本规定第三条、第十七条规定标准的，自受理申请之日起 2 个工作日内作出，属于统一受理、集中办理跨省、自治区、直辖市大件运输的，办理的时间最长不得超过 5 个工作日；（二）</w:t>
      </w:r>
      <w:r>
        <w:rPr>
          <w:rFonts w:hint="eastAsia" w:ascii="仿宋" w:hAnsi="仿宋" w:eastAsia="仿宋"/>
          <w:sz w:val="32"/>
          <w:szCs w:val="32"/>
          <w:lang w:eastAsia="zh-CN"/>
        </w:rPr>
        <w:t>货车</w:t>
      </w:r>
      <w:r>
        <w:rPr>
          <w:rFonts w:hint="eastAsia" w:ascii="仿宋" w:hAnsi="仿宋" w:eastAsia="仿宋"/>
          <w:sz w:val="32"/>
          <w:szCs w:val="32"/>
        </w:rPr>
        <w:t>总高度从地面算起未超过 4.5 米、总宽度未超过 3.75 米、总长度未超过 28 米且总质量未超过 100000 千克的，属于本辖区内大件运输的，自受理申请之日起 5 个工作日内作出，属于统一受理、集中办理跨省、自治区、直辖市大件运输的，办理的时间最长不得超过 10 个工作日；</w:t>
      </w:r>
    </w:p>
    <w:p w14:paraId="261BCF29">
      <w:pPr>
        <w:rPr>
          <w:rFonts w:ascii="仿宋" w:hAnsi="仿宋" w:eastAsia="仿宋"/>
          <w:sz w:val="32"/>
          <w:szCs w:val="32"/>
        </w:rPr>
      </w:pPr>
      <w:r>
        <w:rPr>
          <w:rFonts w:hint="eastAsia" w:ascii="仿宋" w:hAnsi="仿宋" w:eastAsia="仿宋"/>
          <w:sz w:val="32"/>
          <w:szCs w:val="32"/>
        </w:rPr>
        <w:t>（三）车货总高度从地面算起超过 4.5 米，或者总宽度超过 3.75 米，或者总长度超过 28 米，或者总质量超过 100000 千克的，属于本辖区内大件运输的，自受理申请</w:t>
      </w:r>
    </w:p>
    <w:p w14:paraId="313A83BD">
      <w:pPr>
        <w:rPr>
          <w:rFonts w:ascii="仿宋" w:hAnsi="仿宋" w:eastAsia="仿宋"/>
          <w:sz w:val="32"/>
          <w:szCs w:val="32"/>
        </w:rPr>
      </w:pPr>
      <w:r>
        <w:rPr>
          <w:rFonts w:hint="eastAsia" w:ascii="仿宋" w:hAnsi="仿宋" w:eastAsia="仿宋"/>
          <w:sz w:val="32"/>
          <w:szCs w:val="32"/>
        </w:rPr>
        <w:t>之日起 15 个工作日内作出，属于统一受理、集中办理跨省、自治区、直辖市大件运输的，办理的时间最长不得超过 20 个工作日。采取加固、改造措施所需时间不计算在前款规定的期限内。</w:t>
      </w:r>
    </w:p>
    <w:p w14:paraId="7BCDFF93">
      <w:pPr>
        <w:rPr>
          <w:rFonts w:ascii="仿宋" w:hAnsi="仿宋" w:eastAsia="仿宋"/>
          <w:sz w:val="32"/>
          <w:szCs w:val="32"/>
        </w:rPr>
      </w:pPr>
      <w:r>
        <w:rPr>
          <w:rFonts w:hint="eastAsia" w:ascii="楷体" w:hAnsi="楷体" w:eastAsia="楷体"/>
          <w:b/>
          <w:sz w:val="32"/>
          <w:szCs w:val="32"/>
        </w:rPr>
        <w:t>4. 承诺审批时限：</w:t>
      </w:r>
      <w:r>
        <w:rPr>
          <w:rFonts w:hint="eastAsia" w:ascii="仿宋" w:hAnsi="仿宋" w:eastAsia="仿宋"/>
          <w:color w:val="FF0000"/>
          <w:sz w:val="32"/>
          <w:szCs w:val="32"/>
        </w:rPr>
        <w:t>5个工作日</w:t>
      </w:r>
    </w:p>
    <w:p w14:paraId="17AD2963">
      <w:pPr>
        <w:rPr>
          <w:rFonts w:ascii="仿宋" w:hAnsi="仿宋" w:eastAsia="仿宋"/>
          <w:sz w:val="32"/>
          <w:szCs w:val="32"/>
        </w:rPr>
      </w:pPr>
      <w:r>
        <w:rPr>
          <w:rFonts w:hint="eastAsia" w:ascii="仿宋" w:hAnsi="仿宋" w:eastAsia="仿宋"/>
          <w:sz w:val="32"/>
          <w:szCs w:val="32"/>
        </w:rPr>
        <w:t>依法进行加固、改造措施另需时间不计算在该时限</w:t>
      </w:r>
    </w:p>
    <w:p w14:paraId="4FA0A60C">
      <w:pPr>
        <w:rPr>
          <w:rFonts w:ascii="黑体" w:hAnsi="黑体" w:eastAsia="黑体"/>
          <w:b/>
          <w:sz w:val="32"/>
          <w:szCs w:val="32"/>
        </w:rPr>
      </w:pPr>
      <w:r>
        <w:rPr>
          <w:rFonts w:hint="eastAsia" w:ascii="黑体" w:hAnsi="黑体" w:eastAsia="黑体"/>
          <w:b/>
          <w:sz w:val="32"/>
          <w:szCs w:val="32"/>
        </w:rPr>
        <w:t>九、收费</w:t>
      </w:r>
    </w:p>
    <w:p w14:paraId="057D7E8D">
      <w:pPr>
        <w:rPr>
          <w:rFonts w:ascii="仿宋" w:hAnsi="仿宋" w:eastAsia="仿宋"/>
          <w:sz w:val="32"/>
          <w:szCs w:val="32"/>
        </w:rPr>
      </w:pPr>
      <w:r>
        <w:rPr>
          <w:rFonts w:hint="eastAsia" w:ascii="楷体" w:hAnsi="楷体" w:eastAsia="楷体"/>
          <w:b/>
          <w:sz w:val="32"/>
          <w:szCs w:val="32"/>
        </w:rPr>
        <w:t>1. 办理行政许可是否收费：</w:t>
      </w:r>
      <w:r>
        <w:rPr>
          <w:rFonts w:hint="eastAsia" w:ascii="仿宋" w:hAnsi="仿宋" w:eastAsia="仿宋"/>
          <w:sz w:val="32"/>
          <w:szCs w:val="32"/>
        </w:rPr>
        <w:t>否</w:t>
      </w:r>
    </w:p>
    <w:p w14:paraId="03D68F6D">
      <w:pPr>
        <w:rPr>
          <w:rFonts w:ascii="楷体" w:hAnsi="楷体" w:eastAsia="楷体"/>
          <w:b/>
          <w:sz w:val="32"/>
          <w:szCs w:val="32"/>
        </w:rPr>
      </w:pPr>
      <w:r>
        <w:rPr>
          <w:rFonts w:hint="eastAsia" w:ascii="楷体" w:hAnsi="楷体" w:eastAsia="楷体"/>
          <w:b/>
          <w:sz w:val="32"/>
          <w:szCs w:val="32"/>
        </w:rPr>
        <w:t>2. 收费项目的名称 、 收费项目的标准 、 设定收费项目的依据 、 规定收费标准的依据</w:t>
      </w:r>
    </w:p>
    <w:p w14:paraId="2726B0C4">
      <w:pPr>
        <w:rPr>
          <w:rFonts w:ascii="仿宋" w:hAnsi="仿宋" w:eastAsia="仿宋"/>
          <w:sz w:val="32"/>
          <w:szCs w:val="32"/>
        </w:rPr>
      </w:pPr>
      <w:r>
        <w:rPr>
          <w:rFonts w:hint="eastAsia" w:ascii="仿宋" w:hAnsi="仿宋" w:eastAsia="仿宋"/>
          <w:sz w:val="32"/>
          <w:szCs w:val="32"/>
        </w:rPr>
        <w:t>无</w:t>
      </w:r>
    </w:p>
    <w:p w14:paraId="6B9C12F1">
      <w:pPr>
        <w:rPr>
          <w:rFonts w:ascii="黑体" w:hAnsi="黑体" w:eastAsia="黑体"/>
          <w:b/>
          <w:sz w:val="32"/>
          <w:szCs w:val="32"/>
        </w:rPr>
      </w:pPr>
      <w:r>
        <w:rPr>
          <w:rFonts w:hint="eastAsia" w:ascii="黑体" w:hAnsi="黑体" w:eastAsia="黑体"/>
          <w:b/>
          <w:sz w:val="32"/>
          <w:szCs w:val="32"/>
        </w:rPr>
        <w:t>十、行政许可证件</w:t>
      </w:r>
    </w:p>
    <w:p w14:paraId="6B2CA82D">
      <w:pPr>
        <w:rPr>
          <w:rFonts w:ascii="仿宋" w:hAnsi="仿宋" w:eastAsia="仿宋"/>
          <w:sz w:val="32"/>
          <w:szCs w:val="32"/>
        </w:rPr>
      </w:pPr>
      <w:r>
        <w:rPr>
          <w:rFonts w:hint="eastAsia" w:ascii="楷体" w:hAnsi="楷体" w:eastAsia="楷体"/>
          <w:b/>
          <w:sz w:val="32"/>
          <w:szCs w:val="32"/>
        </w:rPr>
        <w:t>1. 审批结果类型：</w:t>
      </w:r>
      <w:r>
        <w:rPr>
          <w:rFonts w:hint="eastAsia" w:ascii="仿宋" w:hAnsi="仿宋" w:eastAsia="仿宋"/>
          <w:sz w:val="32"/>
          <w:szCs w:val="32"/>
        </w:rPr>
        <w:t>证照</w:t>
      </w:r>
    </w:p>
    <w:p w14:paraId="301F36B4">
      <w:pPr>
        <w:rPr>
          <w:rFonts w:ascii="仿宋" w:hAnsi="仿宋" w:eastAsia="仿宋"/>
          <w:sz w:val="32"/>
          <w:szCs w:val="32"/>
        </w:rPr>
      </w:pPr>
      <w:r>
        <w:rPr>
          <w:rFonts w:hint="eastAsia" w:ascii="楷体" w:hAnsi="楷体" w:eastAsia="楷体"/>
          <w:b/>
          <w:sz w:val="32"/>
          <w:szCs w:val="32"/>
        </w:rPr>
        <w:t>2. 审批结果名称：</w:t>
      </w:r>
      <w:r>
        <w:rPr>
          <w:rFonts w:hint="eastAsia" w:ascii="仿宋" w:hAnsi="仿宋" w:eastAsia="仿宋"/>
          <w:sz w:val="32"/>
          <w:szCs w:val="32"/>
        </w:rPr>
        <w:t>《超限运输车辆通行证》</w:t>
      </w:r>
    </w:p>
    <w:p w14:paraId="718F02CB">
      <w:pPr>
        <w:rPr>
          <w:rFonts w:ascii="仿宋" w:hAnsi="仿宋" w:eastAsia="仿宋"/>
          <w:sz w:val="32"/>
          <w:szCs w:val="32"/>
        </w:rPr>
      </w:pPr>
      <w:r>
        <w:rPr>
          <w:rFonts w:hint="eastAsia" w:ascii="楷体" w:hAnsi="楷体" w:eastAsia="楷体"/>
          <w:b/>
          <w:sz w:val="32"/>
          <w:szCs w:val="32"/>
        </w:rPr>
        <w:t>3. 审批结果的有效期限：</w:t>
      </w:r>
      <w:r>
        <w:rPr>
          <w:rFonts w:hint="eastAsia" w:ascii="仿宋" w:hAnsi="仿宋" w:eastAsia="仿宋"/>
          <w:sz w:val="32"/>
          <w:szCs w:val="32"/>
        </w:rPr>
        <w:t>有效期最长不超过六个月</w:t>
      </w:r>
    </w:p>
    <w:p w14:paraId="067026EA">
      <w:pPr>
        <w:rPr>
          <w:rFonts w:ascii="楷体" w:hAnsi="楷体" w:eastAsia="楷体"/>
          <w:b/>
          <w:sz w:val="32"/>
          <w:szCs w:val="32"/>
        </w:rPr>
      </w:pPr>
      <w:r>
        <w:rPr>
          <w:rFonts w:hint="eastAsia" w:ascii="楷体" w:hAnsi="楷体" w:eastAsia="楷体"/>
          <w:b/>
          <w:sz w:val="32"/>
          <w:szCs w:val="32"/>
        </w:rPr>
        <w:t>4. 规定审批结果有效期限的依据</w:t>
      </w:r>
    </w:p>
    <w:p w14:paraId="5002FD79">
      <w:pPr>
        <w:rPr>
          <w:rFonts w:ascii="仿宋" w:hAnsi="仿宋" w:eastAsia="仿宋"/>
          <w:sz w:val="32"/>
          <w:szCs w:val="32"/>
        </w:rPr>
      </w:pPr>
      <w:r>
        <w:rPr>
          <w:rFonts w:hint="eastAsia" w:ascii="仿宋" w:hAnsi="仿宋" w:eastAsia="仿宋"/>
          <w:sz w:val="32"/>
          <w:szCs w:val="32"/>
        </w:rPr>
        <w:t>（1）《超限运输车辆行驶公路管理规定》（交通运输部令 2021年第 12 号）第十九条 同一大件运输车辆短期内多次通行固定路线，装载方式、装载物品相同，且不需要采取加固、改造措施的，承运人可以根据运输计划向公路管理机构申请办理行驶期限不超过 6 个月的《超限运输车辆通行证》。运输计划发生变化的，需按原许可机关的有关规定办理变更手续。</w:t>
      </w:r>
    </w:p>
    <w:p w14:paraId="5564CD99">
      <w:pPr>
        <w:rPr>
          <w:rFonts w:ascii="仿宋" w:hAnsi="仿宋" w:eastAsia="仿宋"/>
          <w:sz w:val="32"/>
          <w:szCs w:val="32"/>
        </w:rPr>
      </w:pPr>
      <w:r>
        <w:rPr>
          <w:rFonts w:hint="eastAsia" w:ascii="楷体" w:hAnsi="楷体" w:eastAsia="楷体"/>
          <w:b/>
          <w:sz w:val="32"/>
          <w:szCs w:val="32"/>
        </w:rPr>
        <w:t>5. 是否需要办理审批结果变更手续：</w:t>
      </w:r>
      <w:r>
        <w:rPr>
          <w:rFonts w:hint="eastAsia" w:ascii="仿宋" w:hAnsi="仿宋" w:eastAsia="仿宋"/>
          <w:sz w:val="32"/>
          <w:szCs w:val="32"/>
        </w:rPr>
        <w:t>否</w:t>
      </w:r>
    </w:p>
    <w:p w14:paraId="5239E8EB">
      <w:pPr>
        <w:rPr>
          <w:rFonts w:ascii="楷体" w:hAnsi="楷体" w:eastAsia="楷体"/>
          <w:b/>
          <w:sz w:val="32"/>
          <w:szCs w:val="32"/>
        </w:rPr>
      </w:pPr>
      <w:r>
        <w:rPr>
          <w:rFonts w:hint="eastAsia" w:ascii="楷体" w:hAnsi="楷体" w:eastAsia="楷体"/>
          <w:b/>
          <w:sz w:val="32"/>
          <w:szCs w:val="32"/>
        </w:rPr>
        <w:t>6. 办理审批结果变更手续的要求</w:t>
      </w:r>
    </w:p>
    <w:p w14:paraId="1703521A">
      <w:pPr>
        <w:rPr>
          <w:rFonts w:ascii="仿宋" w:hAnsi="仿宋" w:eastAsia="仿宋"/>
          <w:sz w:val="32"/>
          <w:szCs w:val="32"/>
        </w:rPr>
      </w:pPr>
      <w:r>
        <w:rPr>
          <w:rFonts w:hint="eastAsia" w:ascii="仿宋" w:hAnsi="仿宋" w:eastAsia="仿宋"/>
          <w:sz w:val="32"/>
          <w:szCs w:val="32"/>
        </w:rPr>
        <w:t>无</w:t>
      </w:r>
    </w:p>
    <w:p w14:paraId="5D31998B">
      <w:pPr>
        <w:rPr>
          <w:rFonts w:ascii="仿宋" w:hAnsi="仿宋" w:eastAsia="仿宋"/>
          <w:sz w:val="32"/>
          <w:szCs w:val="32"/>
        </w:rPr>
      </w:pPr>
      <w:r>
        <w:rPr>
          <w:rFonts w:hint="eastAsia" w:ascii="楷体" w:hAnsi="楷体" w:eastAsia="楷体"/>
          <w:b/>
          <w:sz w:val="32"/>
          <w:szCs w:val="32"/>
        </w:rPr>
        <w:t>7. 是否需要办理审批结果延续手续：</w:t>
      </w:r>
      <w:r>
        <w:rPr>
          <w:rFonts w:hint="eastAsia" w:ascii="仿宋" w:hAnsi="仿宋" w:eastAsia="仿宋"/>
          <w:sz w:val="32"/>
          <w:szCs w:val="32"/>
        </w:rPr>
        <w:t>否</w:t>
      </w:r>
    </w:p>
    <w:p w14:paraId="376C91CD">
      <w:pPr>
        <w:rPr>
          <w:rFonts w:ascii="楷体" w:hAnsi="楷体" w:eastAsia="楷体"/>
          <w:b/>
          <w:sz w:val="32"/>
          <w:szCs w:val="32"/>
        </w:rPr>
      </w:pPr>
      <w:r>
        <w:rPr>
          <w:rFonts w:hint="eastAsia" w:ascii="楷体" w:hAnsi="楷体" w:eastAsia="楷体"/>
          <w:b/>
          <w:sz w:val="32"/>
          <w:szCs w:val="32"/>
        </w:rPr>
        <w:t>8. 办理审批结果延续手续的要求</w:t>
      </w:r>
    </w:p>
    <w:p w14:paraId="5F2FBE61">
      <w:pPr>
        <w:rPr>
          <w:rFonts w:ascii="仿宋" w:hAnsi="仿宋" w:eastAsia="仿宋"/>
          <w:sz w:val="32"/>
          <w:szCs w:val="32"/>
        </w:rPr>
      </w:pPr>
      <w:r>
        <w:rPr>
          <w:rFonts w:hint="eastAsia" w:ascii="仿宋" w:hAnsi="仿宋" w:eastAsia="仿宋"/>
          <w:sz w:val="32"/>
          <w:szCs w:val="32"/>
        </w:rPr>
        <w:t>无</w:t>
      </w:r>
    </w:p>
    <w:p w14:paraId="01FEE59A">
      <w:pPr>
        <w:rPr>
          <w:rFonts w:ascii="楷体" w:hAnsi="楷体" w:eastAsia="楷体"/>
          <w:b/>
          <w:sz w:val="32"/>
          <w:szCs w:val="32"/>
        </w:rPr>
      </w:pPr>
      <w:r>
        <w:rPr>
          <w:rFonts w:hint="eastAsia" w:ascii="楷体" w:hAnsi="楷体" w:eastAsia="楷体"/>
          <w:b/>
          <w:sz w:val="32"/>
          <w:szCs w:val="32"/>
        </w:rPr>
        <w:t>9. 审批结果的有效地域范围</w:t>
      </w:r>
    </w:p>
    <w:p w14:paraId="4C58E8E4">
      <w:pPr>
        <w:rPr>
          <w:rFonts w:ascii="仿宋" w:hAnsi="仿宋" w:eastAsia="仿宋"/>
          <w:sz w:val="32"/>
          <w:szCs w:val="32"/>
        </w:rPr>
      </w:pPr>
      <w:r>
        <w:rPr>
          <w:rFonts w:hint="eastAsia" w:ascii="仿宋" w:hAnsi="仿宋" w:eastAsia="仿宋"/>
          <w:sz w:val="32"/>
          <w:szCs w:val="32"/>
        </w:rPr>
        <w:t>与《超限运输车辆通行证》记载一致</w:t>
      </w:r>
    </w:p>
    <w:p w14:paraId="314F52CA">
      <w:pPr>
        <w:rPr>
          <w:rFonts w:ascii="楷体" w:hAnsi="楷体" w:eastAsia="楷体"/>
          <w:b/>
          <w:sz w:val="32"/>
          <w:szCs w:val="32"/>
        </w:rPr>
      </w:pPr>
      <w:r>
        <w:rPr>
          <w:rFonts w:hint="eastAsia" w:ascii="楷体" w:hAnsi="楷体" w:eastAsia="楷体"/>
          <w:b/>
          <w:sz w:val="32"/>
          <w:szCs w:val="32"/>
        </w:rPr>
        <w:t>10. 规定审批结果有效地域范围的依据</w:t>
      </w:r>
    </w:p>
    <w:p w14:paraId="16BEF6FD">
      <w:pPr>
        <w:rPr>
          <w:rFonts w:ascii="仿宋" w:hAnsi="仿宋" w:eastAsia="仿宋"/>
          <w:sz w:val="32"/>
          <w:szCs w:val="32"/>
        </w:rPr>
      </w:pPr>
      <w:r>
        <w:rPr>
          <w:rFonts w:hint="eastAsia" w:ascii="仿宋" w:hAnsi="仿宋" w:eastAsia="仿宋"/>
          <w:sz w:val="32"/>
          <w:szCs w:val="32"/>
        </w:rPr>
        <w:t>（1）《中华人民共和国公路法》第五十条 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w:t>
      </w:r>
    </w:p>
    <w:p w14:paraId="24B9C891">
      <w:pPr>
        <w:rPr>
          <w:rFonts w:ascii="仿宋" w:hAnsi="仿宋" w:eastAsia="仿宋"/>
          <w:sz w:val="32"/>
          <w:szCs w:val="32"/>
        </w:rPr>
      </w:pPr>
      <w:r>
        <w:rPr>
          <w:rFonts w:hint="eastAsia" w:ascii="仿宋" w:hAnsi="仿宋" w:eastAsia="仿宋"/>
          <w:sz w:val="32"/>
          <w:szCs w:val="32"/>
        </w:rPr>
        <w:t>由交通主管部门帮助其采取防护措施，所需费用由运输单位承担。</w:t>
      </w:r>
    </w:p>
    <w:p w14:paraId="57D9F176">
      <w:pPr>
        <w:rPr>
          <w:rFonts w:ascii="仿宋" w:hAnsi="仿宋" w:eastAsia="仿宋"/>
          <w:sz w:val="32"/>
          <w:szCs w:val="32"/>
        </w:rPr>
      </w:pPr>
      <w:r>
        <w:rPr>
          <w:rFonts w:hint="eastAsia" w:ascii="仿宋" w:hAnsi="仿宋" w:eastAsia="仿宋"/>
          <w:sz w:val="32"/>
          <w:szCs w:val="32"/>
        </w:rPr>
        <w:t>（2）《公路安全保护条例》第三十八条 公路管理机构批准超限运输申请的，应当为超限运输车辆配发国务院交通运输主管部门规定式样的超限运输车辆通行证。经批准进行超限运输的车辆，应当随车携带超限运输车辆通行证，按照指定的时间、路线和速度行驶，并悬挂明显标志。禁止租借、转让超限运输车辆通行证。禁止使用伪造、变造的超限运输车辆通行证。</w:t>
      </w:r>
    </w:p>
    <w:p w14:paraId="70F3472C">
      <w:pPr>
        <w:rPr>
          <w:rFonts w:ascii="仿宋" w:hAnsi="仿宋" w:eastAsia="仿宋"/>
          <w:sz w:val="32"/>
          <w:szCs w:val="32"/>
        </w:rPr>
      </w:pPr>
      <w:r>
        <w:rPr>
          <w:rFonts w:hint="eastAsia" w:ascii="仿宋" w:hAnsi="仿宋" w:eastAsia="仿宋"/>
          <w:sz w:val="32"/>
          <w:szCs w:val="32"/>
        </w:rPr>
        <w:t>（3）《超限运输车辆行驶公路管理规定》（交通运输部令 2021年第 12 号）第六条 载运不可解体物品的超限运输（以下称大件运输）车辆，应当依法办理有关许可手续，采取有效措施后，按照指定的时间、路线、速度行驶公路。未经许可，不得擅自行驶公路。</w:t>
      </w:r>
    </w:p>
    <w:p w14:paraId="3FB65942">
      <w:pPr>
        <w:rPr>
          <w:rFonts w:ascii="黑体" w:hAnsi="黑体" w:eastAsia="黑体"/>
          <w:b/>
          <w:sz w:val="32"/>
          <w:szCs w:val="32"/>
        </w:rPr>
      </w:pPr>
      <w:r>
        <w:rPr>
          <w:rFonts w:hint="eastAsia" w:ascii="黑体" w:hAnsi="黑体" w:eastAsia="黑体"/>
          <w:b/>
          <w:sz w:val="32"/>
          <w:szCs w:val="32"/>
        </w:rPr>
        <w:t>十一、行政许可数量限制</w:t>
      </w:r>
    </w:p>
    <w:p w14:paraId="14551CE7">
      <w:pPr>
        <w:rPr>
          <w:rFonts w:ascii="仿宋" w:hAnsi="仿宋" w:eastAsia="仿宋"/>
          <w:sz w:val="32"/>
          <w:szCs w:val="32"/>
        </w:rPr>
      </w:pPr>
      <w:r>
        <w:rPr>
          <w:rFonts w:hint="eastAsia" w:ascii="楷体" w:hAnsi="楷体" w:eastAsia="楷体"/>
          <w:b/>
          <w:sz w:val="32"/>
          <w:szCs w:val="32"/>
        </w:rPr>
        <w:t>1. 有无行政许可数量限制：</w:t>
      </w:r>
      <w:r>
        <w:rPr>
          <w:rFonts w:hint="eastAsia" w:ascii="仿宋" w:hAnsi="仿宋" w:eastAsia="仿宋"/>
          <w:sz w:val="32"/>
          <w:szCs w:val="32"/>
        </w:rPr>
        <w:t>无</w:t>
      </w:r>
    </w:p>
    <w:p w14:paraId="783E4A08">
      <w:pPr>
        <w:rPr>
          <w:rFonts w:ascii="仿宋" w:hAnsi="仿宋" w:eastAsia="仿宋"/>
          <w:sz w:val="32"/>
          <w:szCs w:val="32"/>
        </w:rPr>
      </w:pPr>
      <w:r>
        <w:rPr>
          <w:rFonts w:hint="eastAsia" w:ascii="楷体" w:hAnsi="楷体" w:eastAsia="楷体"/>
          <w:b/>
          <w:sz w:val="32"/>
          <w:szCs w:val="32"/>
        </w:rPr>
        <w:t>2. 公布数量限制的方式：</w:t>
      </w:r>
      <w:r>
        <w:rPr>
          <w:rFonts w:hint="eastAsia" w:ascii="仿宋" w:hAnsi="仿宋" w:eastAsia="仿宋"/>
          <w:sz w:val="32"/>
          <w:szCs w:val="32"/>
        </w:rPr>
        <w:t>无</w:t>
      </w:r>
    </w:p>
    <w:p w14:paraId="560E608D">
      <w:pPr>
        <w:rPr>
          <w:rFonts w:ascii="仿宋" w:hAnsi="仿宋" w:eastAsia="仿宋"/>
          <w:sz w:val="32"/>
          <w:szCs w:val="32"/>
        </w:rPr>
      </w:pPr>
      <w:r>
        <w:rPr>
          <w:rFonts w:hint="eastAsia" w:ascii="楷体" w:hAnsi="楷体" w:eastAsia="楷体"/>
          <w:b/>
          <w:sz w:val="32"/>
          <w:szCs w:val="32"/>
        </w:rPr>
        <w:t>3. 公布数量限制的周期：</w:t>
      </w:r>
      <w:r>
        <w:rPr>
          <w:rFonts w:hint="eastAsia" w:ascii="仿宋" w:hAnsi="仿宋" w:eastAsia="仿宋"/>
          <w:sz w:val="32"/>
          <w:szCs w:val="32"/>
        </w:rPr>
        <w:t>无</w:t>
      </w:r>
    </w:p>
    <w:p w14:paraId="5D080F39">
      <w:pPr>
        <w:rPr>
          <w:rFonts w:ascii="仿宋" w:hAnsi="仿宋" w:eastAsia="仿宋"/>
          <w:sz w:val="32"/>
          <w:szCs w:val="32"/>
        </w:rPr>
      </w:pPr>
      <w:r>
        <w:rPr>
          <w:rFonts w:hint="eastAsia" w:ascii="楷体" w:hAnsi="楷体" w:eastAsia="楷体"/>
          <w:b/>
          <w:sz w:val="32"/>
          <w:szCs w:val="32"/>
        </w:rPr>
        <w:t>4. 在数量限制条件下实施行政许可的方式：</w:t>
      </w:r>
      <w:r>
        <w:rPr>
          <w:rFonts w:hint="eastAsia" w:ascii="仿宋" w:hAnsi="仿宋" w:eastAsia="仿宋"/>
          <w:sz w:val="32"/>
          <w:szCs w:val="32"/>
        </w:rPr>
        <w:t>无</w:t>
      </w:r>
    </w:p>
    <w:p w14:paraId="099D15C9">
      <w:pPr>
        <w:rPr>
          <w:rFonts w:ascii="楷体" w:hAnsi="楷体" w:eastAsia="楷体"/>
          <w:b/>
          <w:sz w:val="32"/>
          <w:szCs w:val="32"/>
        </w:rPr>
      </w:pPr>
      <w:r>
        <w:rPr>
          <w:rFonts w:hint="eastAsia" w:ascii="楷体" w:hAnsi="楷体" w:eastAsia="楷体"/>
          <w:b/>
          <w:sz w:val="32"/>
          <w:szCs w:val="32"/>
        </w:rPr>
        <w:t>5. 规定在数量限制条件下实施行政许可方式的依据</w:t>
      </w:r>
    </w:p>
    <w:p w14:paraId="62785B35">
      <w:pPr>
        <w:rPr>
          <w:rFonts w:ascii="仿宋" w:hAnsi="仿宋" w:eastAsia="仿宋"/>
          <w:sz w:val="32"/>
          <w:szCs w:val="32"/>
        </w:rPr>
      </w:pPr>
      <w:r>
        <w:rPr>
          <w:rFonts w:hint="eastAsia" w:ascii="仿宋" w:hAnsi="仿宋" w:eastAsia="仿宋"/>
          <w:sz w:val="32"/>
          <w:szCs w:val="32"/>
        </w:rPr>
        <w:t>无</w:t>
      </w:r>
    </w:p>
    <w:p w14:paraId="3E89D1F6">
      <w:pPr>
        <w:rPr>
          <w:rFonts w:ascii="仿宋" w:hAnsi="仿宋" w:eastAsia="仿宋"/>
          <w:sz w:val="32"/>
          <w:szCs w:val="32"/>
        </w:rPr>
      </w:pPr>
      <w:r>
        <w:rPr>
          <w:rFonts w:hint="eastAsia" w:ascii="仿宋" w:hAnsi="仿宋" w:eastAsia="仿宋"/>
          <w:sz w:val="32"/>
          <w:szCs w:val="32"/>
        </w:rPr>
        <w:t>十</w:t>
      </w:r>
      <w:r>
        <w:rPr>
          <w:rFonts w:hint="eastAsia" w:ascii="黑体" w:hAnsi="黑体" w:eastAsia="黑体"/>
          <w:b/>
          <w:sz w:val="32"/>
          <w:szCs w:val="32"/>
        </w:rPr>
        <w:t>二、行政许可后年检</w:t>
      </w:r>
    </w:p>
    <w:p w14:paraId="32F14FAC">
      <w:pPr>
        <w:rPr>
          <w:rFonts w:ascii="仿宋" w:hAnsi="仿宋" w:eastAsia="仿宋"/>
          <w:sz w:val="32"/>
          <w:szCs w:val="32"/>
        </w:rPr>
      </w:pPr>
      <w:r>
        <w:rPr>
          <w:rFonts w:hint="eastAsia" w:ascii="楷体" w:hAnsi="楷体" w:eastAsia="楷体"/>
          <w:b/>
          <w:sz w:val="32"/>
          <w:szCs w:val="32"/>
        </w:rPr>
        <w:t>1. 有无年检要求：</w:t>
      </w:r>
      <w:r>
        <w:rPr>
          <w:rFonts w:hint="eastAsia" w:ascii="仿宋" w:hAnsi="仿宋" w:eastAsia="仿宋"/>
          <w:sz w:val="32"/>
          <w:szCs w:val="32"/>
        </w:rPr>
        <w:t>无</w:t>
      </w:r>
    </w:p>
    <w:p w14:paraId="4BB1232F">
      <w:pPr>
        <w:rPr>
          <w:rFonts w:ascii="楷体" w:hAnsi="楷体" w:eastAsia="楷体"/>
          <w:b/>
          <w:sz w:val="32"/>
          <w:szCs w:val="32"/>
        </w:rPr>
      </w:pPr>
      <w:r>
        <w:rPr>
          <w:rFonts w:hint="eastAsia" w:ascii="楷体" w:hAnsi="楷体" w:eastAsia="楷体"/>
          <w:b/>
          <w:sz w:val="32"/>
          <w:szCs w:val="32"/>
        </w:rPr>
        <w:t>2. 设定年检要求的依据</w:t>
      </w:r>
    </w:p>
    <w:p w14:paraId="394DE7C2">
      <w:pPr>
        <w:rPr>
          <w:rFonts w:ascii="仿宋" w:hAnsi="仿宋" w:eastAsia="仿宋"/>
          <w:sz w:val="32"/>
          <w:szCs w:val="32"/>
        </w:rPr>
      </w:pPr>
      <w:r>
        <w:rPr>
          <w:rFonts w:hint="eastAsia" w:ascii="仿宋" w:hAnsi="仿宋" w:eastAsia="仿宋"/>
          <w:sz w:val="32"/>
          <w:szCs w:val="32"/>
        </w:rPr>
        <w:t>无</w:t>
      </w:r>
    </w:p>
    <w:p w14:paraId="530CACA8">
      <w:pPr>
        <w:rPr>
          <w:rFonts w:ascii="仿宋" w:hAnsi="仿宋" w:eastAsia="仿宋"/>
          <w:sz w:val="32"/>
          <w:szCs w:val="32"/>
        </w:rPr>
      </w:pPr>
      <w:r>
        <w:rPr>
          <w:rFonts w:hint="eastAsia" w:ascii="楷体" w:hAnsi="楷体" w:eastAsia="楷体"/>
          <w:b/>
          <w:sz w:val="32"/>
          <w:szCs w:val="32"/>
        </w:rPr>
        <w:t>3. 年检周期：</w:t>
      </w:r>
      <w:r>
        <w:rPr>
          <w:rFonts w:hint="eastAsia" w:ascii="仿宋" w:hAnsi="仿宋" w:eastAsia="仿宋"/>
          <w:sz w:val="32"/>
          <w:szCs w:val="32"/>
        </w:rPr>
        <w:t>无</w:t>
      </w:r>
    </w:p>
    <w:p w14:paraId="2111DF90">
      <w:pPr>
        <w:rPr>
          <w:rFonts w:ascii="仿宋" w:hAnsi="仿宋" w:eastAsia="仿宋"/>
          <w:sz w:val="32"/>
          <w:szCs w:val="32"/>
        </w:rPr>
      </w:pPr>
      <w:r>
        <w:rPr>
          <w:rFonts w:hint="eastAsia" w:ascii="楷体" w:hAnsi="楷体" w:eastAsia="楷体"/>
          <w:b/>
          <w:sz w:val="32"/>
          <w:szCs w:val="32"/>
        </w:rPr>
        <w:t>4. 年检是否要求报送材料：</w:t>
      </w:r>
      <w:r>
        <w:rPr>
          <w:rFonts w:hint="eastAsia" w:ascii="仿宋" w:hAnsi="仿宋" w:eastAsia="仿宋"/>
          <w:sz w:val="32"/>
          <w:szCs w:val="32"/>
        </w:rPr>
        <w:t>无</w:t>
      </w:r>
    </w:p>
    <w:p w14:paraId="4AD2AC75">
      <w:pPr>
        <w:rPr>
          <w:rFonts w:ascii="仿宋" w:hAnsi="仿宋" w:eastAsia="仿宋"/>
          <w:sz w:val="32"/>
          <w:szCs w:val="32"/>
        </w:rPr>
      </w:pPr>
      <w:r>
        <w:rPr>
          <w:rFonts w:hint="eastAsia" w:ascii="楷体" w:hAnsi="楷体" w:eastAsia="楷体"/>
          <w:b/>
          <w:sz w:val="32"/>
          <w:szCs w:val="32"/>
        </w:rPr>
        <w:t>5. 年检报送材料名称：</w:t>
      </w:r>
      <w:r>
        <w:rPr>
          <w:rFonts w:hint="eastAsia" w:ascii="仿宋" w:hAnsi="仿宋" w:eastAsia="仿宋"/>
          <w:sz w:val="32"/>
          <w:szCs w:val="32"/>
        </w:rPr>
        <w:t>无</w:t>
      </w:r>
    </w:p>
    <w:p w14:paraId="598FAD2B">
      <w:pPr>
        <w:rPr>
          <w:rFonts w:ascii="仿宋" w:hAnsi="仿宋" w:eastAsia="仿宋"/>
          <w:sz w:val="32"/>
          <w:szCs w:val="32"/>
        </w:rPr>
      </w:pPr>
      <w:r>
        <w:rPr>
          <w:rFonts w:hint="eastAsia" w:ascii="楷体" w:hAnsi="楷体" w:eastAsia="楷体"/>
          <w:b/>
          <w:sz w:val="32"/>
          <w:szCs w:val="32"/>
        </w:rPr>
        <w:t>6. 年检是否收费：</w:t>
      </w:r>
      <w:r>
        <w:rPr>
          <w:rFonts w:hint="eastAsia" w:ascii="仿宋" w:hAnsi="仿宋" w:eastAsia="仿宋"/>
          <w:sz w:val="32"/>
          <w:szCs w:val="32"/>
        </w:rPr>
        <w:t>无</w:t>
      </w:r>
    </w:p>
    <w:p w14:paraId="08FA3F37">
      <w:pPr>
        <w:rPr>
          <w:rFonts w:ascii="楷体" w:hAnsi="楷体" w:eastAsia="楷体"/>
          <w:b/>
          <w:sz w:val="32"/>
          <w:szCs w:val="32"/>
        </w:rPr>
      </w:pPr>
      <w:r>
        <w:rPr>
          <w:rFonts w:hint="eastAsia" w:ascii="楷体" w:hAnsi="楷体" w:eastAsia="楷体"/>
          <w:b/>
          <w:sz w:val="32"/>
          <w:szCs w:val="32"/>
        </w:rPr>
        <w:t>7. 年检收费项目的名称、 、 年检收费项目的标准、 、 设定年检收费项目的依据、规定年检项目收费标准的依据</w:t>
      </w:r>
    </w:p>
    <w:p w14:paraId="28A20EC4">
      <w:pPr>
        <w:rPr>
          <w:rFonts w:ascii="仿宋" w:hAnsi="仿宋" w:eastAsia="仿宋"/>
          <w:sz w:val="32"/>
          <w:szCs w:val="32"/>
        </w:rPr>
      </w:pPr>
      <w:r>
        <w:rPr>
          <w:rFonts w:hint="eastAsia" w:ascii="仿宋" w:hAnsi="仿宋" w:eastAsia="仿宋"/>
          <w:sz w:val="32"/>
          <w:szCs w:val="32"/>
        </w:rPr>
        <w:t>无</w:t>
      </w:r>
    </w:p>
    <w:p w14:paraId="631331A2">
      <w:pPr>
        <w:rPr>
          <w:rFonts w:ascii="仿宋" w:hAnsi="仿宋" w:eastAsia="仿宋"/>
          <w:sz w:val="32"/>
          <w:szCs w:val="32"/>
        </w:rPr>
      </w:pPr>
      <w:r>
        <w:rPr>
          <w:rFonts w:hint="eastAsia" w:ascii="楷体" w:hAnsi="楷体" w:eastAsia="楷体"/>
          <w:b/>
          <w:sz w:val="32"/>
          <w:szCs w:val="32"/>
        </w:rPr>
        <w:t>8. 通过年检的证明或者标志：</w:t>
      </w:r>
      <w:r>
        <w:rPr>
          <w:rFonts w:hint="eastAsia" w:ascii="仿宋" w:hAnsi="仿宋" w:eastAsia="仿宋"/>
          <w:sz w:val="32"/>
          <w:szCs w:val="32"/>
        </w:rPr>
        <w:t>无</w:t>
      </w:r>
    </w:p>
    <w:p w14:paraId="78791FF1">
      <w:pPr>
        <w:rPr>
          <w:rFonts w:ascii="仿宋" w:hAnsi="仿宋" w:eastAsia="仿宋"/>
          <w:sz w:val="32"/>
          <w:szCs w:val="32"/>
        </w:rPr>
      </w:pPr>
      <w:r>
        <w:rPr>
          <w:rFonts w:hint="eastAsia" w:ascii="黑体" w:hAnsi="黑体" w:eastAsia="黑体"/>
          <w:b/>
          <w:sz w:val="32"/>
          <w:szCs w:val="32"/>
        </w:rPr>
        <w:t>十三、行政许可后年报</w:t>
      </w:r>
    </w:p>
    <w:p w14:paraId="5F549A96">
      <w:pPr>
        <w:rPr>
          <w:rFonts w:ascii="仿宋" w:hAnsi="仿宋" w:eastAsia="仿宋"/>
          <w:sz w:val="32"/>
          <w:szCs w:val="32"/>
        </w:rPr>
      </w:pPr>
      <w:r>
        <w:rPr>
          <w:rFonts w:hint="eastAsia" w:ascii="楷体" w:hAnsi="楷体" w:eastAsia="楷体"/>
          <w:b/>
          <w:sz w:val="32"/>
          <w:szCs w:val="32"/>
        </w:rPr>
        <w:t>1. 有无年报要求 ：</w:t>
      </w:r>
      <w:r>
        <w:rPr>
          <w:rFonts w:hint="eastAsia" w:ascii="仿宋" w:hAnsi="仿宋" w:eastAsia="仿宋"/>
          <w:sz w:val="32"/>
          <w:szCs w:val="32"/>
        </w:rPr>
        <w:t>无</w:t>
      </w:r>
    </w:p>
    <w:p w14:paraId="650A5ACF">
      <w:pPr>
        <w:rPr>
          <w:rFonts w:ascii="仿宋" w:hAnsi="仿宋" w:eastAsia="仿宋"/>
          <w:sz w:val="32"/>
          <w:szCs w:val="32"/>
        </w:rPr>
      </w:pPr>
      <w:r>
        <w:rPr>
          <w:rFonts w:hint="eastAsia" w:ascii="楷体" w:hAnsi="楷体" w:eastAsia="楷体"/>
          <w:b/>
          <w:sz w:val="32"/>
          <w:szCs w:val="32"/>
        </w:rPr>
        <w:t>2. 年报报送材料名称 ：</w:t>
      </w:r>
      <w:r>
        <w:rPr>
          <w:rFonts w:hint="eastAsia" w:ascii="仿宋" w:hAnsi="仿宋" w:eastAsia="仿宋"/>
          <w:sz w:val="32"/>
          <w:szCs w:val="32"/>
        </w:rPr>
        <w:t>无</w:t>
      </w:r>
    </w:p>
    <w:p w14:paraId="127ED31D">
      <w:pPr>
        <w:rPr>
          <w:rFonts w:ascii="楷体" w:hAnsi="楷体" w:eastAsia="楷体"/>
          <w:b/>
          <w:sz w:val="32"/>
          <w:szCs w:val="32"/>
        </w:rPr>
      </w:pPr>
      <w:r>
        <w:rPr>
          <w:rFonts w:hint="eastAsia" w:ascii="楷体" w:hAnsi="楷体" w:eastAsia="楷体"/>
          <w:b/>
          <w:sz w:val="32"/>
          <w:szCs w:val="32"/>
        </w:rPr>
        <w:t>3. 设定年报要求的依据</w:t>
      </w:r>
    </w:p>
    <w:p w14:paraId="1CA175D7">
      <w:pPr>
        <w:rPr>
          <w:rFonts w:ascii="仿宋" w:hAnsi="仿宋" w:eastAsia="仿宋"/>
          <w:sz w:val="32"/>
          <w:szCs w:val="32"/>
        </w:rPr>
      </w:pPr>
      <w:r>
        <w:rPr>
          <w:rFonts w:hint="eastAsia" w:ascii="仿宋" w:hAnsi="仿宋" w:eastAsia="仿宋"/>
          <w:sz w:val="32"/>
          <w:szCs w:val="32"/>
        </w:rPr>
        <w:t>无</w:t>
      </w:r>
    </w:p>
    <w:p w14:paraId="31664708">
      <w:pPr>
        <w:rPr>
          <w:rFonts w:ascii="仿宋" w:hAnsi="仿宋" w:eastAsia="仿宋"/>
          <w:sz w:val="32"/>
          <w:szCs w:val="32"/>
        </w:rPr>
      </w:pPr>
      <w:r>
        <w:rPr>
          <w:rFonts w:hint="eastAsia" w:ascii="楷体" w:hAnsi="楷体" w:eastAsia="楷体"/>
          <w:b/>
          <w:sz w:val="32"/>
          <w:szCs w:val="32"/>
        </w:rPr>
        <w:t>4. 年报周期 ：</w:t>
      </w:r>
      <w:r>
        <w:rPr>
          <w:rFonts w:hint="eastAsia" w:ascii="仿宋" w:hAnsi="仿宋" w:eastAsia="仿宋"/>
          <w:sz w:val="32"/>
          <w:szCs w:val="32"/>
        </w:rPr>
        <w:t>无</w:t>
      </w:r>
    </w:p>
    <w:p w14:paraId="515784DC">
      <w:pPr>
        <w:rPr>
          <w:rFonts w:ascii="黑体" w:hAnsi="黑体" w:eastAsia="黑体"/>
          <w:b/>
          <w:sz w:val="32"/>
          <w:szCs w:val="32"/>
        </w:rPr>
      </w:pPr>
      <w:r>
        <w:rPr>
          <w:rFonts w:hint="eastAsia" w:ascii="黑体" w:hAnsi="黑体" w:eastAsia="黑体"/>
          <w:b/>
          <w:sz w:val="32"/>
          <w:szCs w:val="32"/>
        </w:rPr>
        <w:t>十四、监管主体</w:t>
      </w:r>
    </w:p>
    <w:p w14:paraId="67546600">
      <w:pPr>
        <w:rPr>
          <w:rFonts w:ascii="仿宋" w:hAnsi="仿宋" w:eastAsia="仿宋"/>
          <w:sz w:val="32"/>
          <w:szCs w:val="32"/>
        </w:rPr>
      </w:pPr>
      <w:r>
        <w:rPr>
          <w:rFonts w:hint="eastAsia" w:ascii="仿宋" w:hAnsi="仿宋" w:eastAsia="仿宋"/>
          <w:sz w:val="32"/>
          <w:szCs w:val="32"/>
        </w:rPr>
        <w:t>县级交通运输部门</w:t>
      </w:r>
    </w:p>
    <w:p w14:paraId="7F473F23">
      <w:pPr>
        <w:rPr>
          <w:rFonts w:ascii="黑体" w:hAnsi="黑体" w:eastAsia="黑体"/>
          <w:b/>
          <w:sz w:val="32"/>
          <w:szCs w:val="32"/>
        </w:rPr>
      </w:pPr>
      <w:r>
        <w:rPr>
          <w:rFonts w:hint="eastAsia" w:ascii="黑体" w:hAnsi="黑体" w:eastAsia="黑体"/>
          <w:b/>
          <w:sz w:val="32"/>
          <w:szCs w:val="32"/>
        </w:rPr>
        <w:t>十五、备注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1017"/>
    <w:rsid w:val="00096EC9"/>
    <w:rsid w:val="00286482"/>
    <w:rsid w:val="00337B08"/>
    <w:rsid w:val="00377CF2"/>
    <w:rsid w:val="00421017"/>
    <w:rsid w:val="00535942"/>
    <w:rsid w:val="005B0829"/>
    <w:rsid w:val="00693B97"/>
    <w:rsid w:val="0089093C"/>
    <w:rsid w:val="00AF4021"/>
    <w:rsid w:val="00B232E6"/>
    <w:rsid w:val="00CF6345"/>
    <w:rsid w:val="00E75F66"/>
    <w:rsid w:val="00EF413C"/>
    <w:rsid w:val="01276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34</Pages>
  <Words>13073</Words>
  <Characters>13747</Characters>
  <Lines>104</Lines>
  <Paragraphs>29</Paragraphs>
  <TotalTime>62</TotalTime>
  <ScaleCrop>false</ScaleCrop>
  <LinksUpToDate>false</LinksUpToDate>
  <CharactersWithSpaces>14327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2023-10-27T08:18:00Z</dcterms:created>
  <dc:creator>user</dc:creator>
  <cp:lastModifiedBy>曾世涛</cp:lastModifiedBy>
  <dcterms:modified xsi:type="dcterms:W3CDTF">2025-04-25T08:42:08Z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BE6F7EAB991749928ECD810AAA6FBFFA_12</vt:lpwstr>
  </property>
</Properties>
</file>